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6F" w:rsidRDefault="001C6A6F" w:rsidP="0022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6F" w:rsidRDefault="001C6A6F" w:rsidP="001C6A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РОССИЙСКАЯ ФЕДЕРАЦИЯ</w:t>
      </w:r>
    </w:p>
    <w:p w:rsidR="001C6A6F" w:rsidRDefault="001C6A6F" w:rsidP="001C6A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РЕВИЗИОННАЯ КОМИССИЯ ГОРОДСКОГО ОКРУГА КРАСНОУФИМСК</w:t>
      </w:r>
    </w:p>
    <w:p w:rsidR="001C6A6F" w:rsidRDefault="00A938D9" w:rsidP="001C6A6F">
      <w:pPr>
        <w:spacing w:before="120" w:after="0"/>
        <w:rPr>
          <w:rFonts w:ascii="Times New Roman" w:hAnsi="Times New Roman" w:cs="Times New Roman"/>
          <w:b/>
          <w:bCs/>
          <w:spacing w:val="-20"/>
        </w:rPr>
      </w:pPr>
      <w:r w:rsidRPr="00A938D9">
        <w:rPr>
          <w:rFonts w:ascii="Calibri" w:hAnsi="Calibri" w:cs="Calibri"/>
          <w:noProof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1C6A6F" w:rsidRPr="00CC37A2" w:rsidRDefault="001C6A6F" w:rsidP="00807F87">
      <w:pPr>
        <w:pStyle w:val="20"/>
        <w:shd w:val="clear" w:color="auto" w:fill="auto"/>
        <w:tabs>
          <w:tab w:val="left" w:pos="1092"/>
        </w:tabs>
        <w:spacing w:after="0" w:line="240" w:lineRule="auto"/>
        <w:rPr>
          <w:rFonts w:ascii="Times New Roman" w:hAnsi="Times New Roman" w:cs="Times New Roman"/>
        </w:rPr>
      </w:pPr>
      <w:r w:rsidRPr="00CC37A2">
        <w:rPr>
          <w:rFonts w:ascii="Times New Roman" w:hAnsi="Times New Roman" w:cs="Times New Roman"/>
        </w:rPr>
        <w:t>Заключение</w:t>
      </w:r>
    </w:p>
    <w:p w:rsidR="00AD6B0B" w:rsidRDefault="00226935" w:rsidP="0080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на проект решения Думы городского округа Красноуфимск «О бюджете городского округа Красноуфимск на 201</w:t>
      </w:r>
      <w:r w:rsidR="003A15CC" w:rsidRPr="003A15CC">
        <w:rPr>
          <w:rFonts w:ascii="Times New Roman" w:hAnsi="Times New Roman" w:cs="Times New Roman"/>
          <w:sz w:val="28"/>
          <w:szCs w:val="28"/>
        </w:rPr>
        <w:t>9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:rsidR="00226935" w:rsidRPr="003A15CC" w:rsidRDefault="00226935" w:rsidP="0080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период 20</w:t>
      </w:r>
      <w:r w:rsidR="003A15CC" w:rsidRPr="003A15CC">
        <w:rPr>
          <w:rFonts w:ascii="Times New Roman" w:hAnsi="Times New Roman" w:cs="Times New Roman"/>
          <w:sz w:val="28"/>
          <w:szCs w:val="28"/>
        </w:rPr>
        <w:t>20</w:t>
      </w:r>
      <w:r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3A15CC" w:rsidRPr="003A15CC">
        <w:rPr>
          <w:rFonts w:ascii="Times New Roman" w:hAnsi="Times New Roman" w:cs="Times New Roman"/>
          <w:sz w:val="28"/>
          <w:szCs w:val="28"/>
        </w:rPr>
        <w:t>1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26935" w:rsidRPr="003A15CC" w:rsidRDefault="00226935" w:rsidP="0080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935" w:rsidRPr="003A15CC" w:rsidRDefault="00226935" w:rsidP="00807F87">
      <w:pPr>
        <w:spacing w:after="0" w:line="240" w:lineRule="auto"/>
        <w:rPr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2</w:t>
      </w:r>
      <w:r w:rsidR="00117E96">
        <w:rPr>
          <w:rFonts w:ascii="Times New Roman" w:hAnsi="Times New Roman" w:cs="Times New Roman"/>
          <w:sz w:val="28"/>
          <w:szCs w:val="28"/>
        </w:rPr>
        <w:t>2</w:t>
      </w:r>
      <w:r w:rsidRPr="003A15C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A15CC" w:rsidRPr="003A15CC">
        <w:rPr>
          <w:rFonts w:ascii="Times New Roman" w:hAnsi="Times New Roman" w:cs="Times New Roman"/>
          <w:sz w:val="28"/>
          <w:szCs w:val="28"/>
        </w:rPr>
        <w:t>8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г. Красноуфимск</w:t>
      </w:r>
    </w:p>
    <w:p w:rsidR="003A15CC" w:rsidRPr="003A15CC" w:rsidRDefault="003A15CC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DAC" w:rsidRDefault="00226935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107785">
        <w:rPr>
          <w:rFonts w:ascii="Times New Roman" w:hAnsi="Times New Roman" w:cs="Times New Roman"/>
          <w:sz w:val="28"/>
          <w:szCs w:val="28"/>
        </w:rPr>
        <w:t>.</w:t>
      </w:r>
      <w:r w:rsidRPr="003A15CC">
        <w:rPr>
          <w:rFonts w:ascii="Times New Roman" w:hAnsi="Times New Roman" w:cs="Times New Roman"/>
          <w:sz w:val="28"/>
          <w:szCs w:val="28"/>
        </w:rPr>
        <w:t xml:space="preserve"> 157 Бюджетного кодекса Российской Федерации, </w:t>
      </w:r>
      <w:r w:rsidR="005E2BEE" w:rsidRPr="005E2BEE">
        <w:rPr>
          <w:rFonts w:ascii="Times New Roman" w:hAnsi="Times New Roman" w:cs="Times New Roman"/>
          <w:sz w:val="28"/>
          <w:szCs w:val="28"/>
        </w:rPr>
        <w:t>ст</w:t>
      </w:r>
      <w:r w:rsidR="00107785">
        <w:rPr>
          <w:rFonts w:ascii="Times New Roman" w:hAnsi="Times New Roman" w:cs="Times New Roman"/>
          <w:sz w:val="28"/>
          <w:szCs w:val="28"/>
        </w:rPr>
        <w:t>.</w:t>
      </w:r>
      <w:r w:rsidR="005E2BEE" w:rsidRPr="005E2BEE">
        <w:rPr>
          <w:rFonts w:ascii="Times New Roman" w:hAnsi="Times New Roman" w:cs="Times New Roman"/>
          <w:sz w:val="28"/>
          <w:szCs w:val="28"/>
        </w:rPr>
        <w:t xml:space="preserve"> 9 Федерального </w:t>
      </w:r>
      <w:r w:rsidR="00F64C1F">
        <w:rPr>
          <w:rFonts w:ascii="Times New Roman" w:hAnsi="Times New Roman" w:cs="Times New Roman"/>
          <w:sz w:val="28"/>
          <w:szCs w:val="28"/>
        </w:rPr>
        <w:t>закона от 07.02.2011 № 6-ФЗ «Об о</w:t>
      </w:r>
      <w:r w:rsidR="005E2BEE" w:rsidRPr="005E2BEE">
        <w:rPr>
          <w:rFonts w:ascii="Times New Roman" w:hAnsi="Times New Roman" w:cs="Times New Roman"/>
          <w:sz w:val="28"/>
          <w:szCs w:val="28"/>
        </w:rPr>
        <w:t>бщих принципах организации и деятельности контрольно-счетных органов субъектов Российской Федерации и муниципальных образований», ст</w:t>
      </w:r>
      <w:r w:rsidR="00800B75">
        <w:rPr>
          <w:rFonts w:ascii="Times New Roman" w:hAnsi="Times New Roman" w:cs="Times New Roman"/>
          <w:sz w:val="28"/>
          <w:szCs w:val="28"/>
        </w:rPr>
        <w:t>.</w:t>
      </w:r>
      <w:r w:rsidR="005E2BEE" w:rsidRPr="005E2BEE">
        <w:rPr>
          <w:rFonts w:ascii="Times New Roman" w:hAnsi="Times New Roman" w:cs="Times New Roman"/>
          <w:sz w:val="28"/>
          <w:szCs w:val="28"/>
        </w:rPr>
        <w:t xml:space="preserve"> 32 Устава городского округа Красноуфимск, принятого решением Красноуфимского городского Совета муниципального образования «Город Красноуфимск» от 26.05.2005 № 15/2, </w:t>
      </w:r>
      <w:r w:rsidR="00B302AE" w:rsidRPr="003A15CC">
        <w:rPr>
          <w:rFonts w:ascii="Times New Roman" w:hAnsi="Times New Roman" w:cs="Times New Roman"/>
          <w:sz w:val="28"/>
          <w:szCs w:val="28"/>
        </w:rPr>
        <w:t>ст</w:t>
      </w:r>
      <w:r w:rsidR="00800B75">
        <w:rPr>
          <w:rFonts w:ascii="Times New Roman" w:hAnsi="Times New Roman" w:cs="Times New Roman"/>
          <w:sz w:val="28"/>
          <w:szCs w:val="28"/>
        </w:rPr>
        <w:t>.</w:t>
      </w:r>
      <w:r w:rsidR="00B302AE" w:rsidRPr="003A15CC">
        <w:rPr>
          <w:rFonts w:ascii="Times New Roman" w:hAnsi="Times New Roman" w:cs="Times New Roman"/>
          <w:sz w:val="28"/>
          <w:szCs w:val="28"/>
        </w:rPr>
        <w:t xml:space="preserve"> 8 </w:t>
      </w:r>
      <w:r w:rsidR="00B302AE">
        <w:rPr>
          <w:rFonts w:ascii="Times New Roman" w:hAnsi="Times New Roman" w:cs="Times New Roman"/>
          <w:sz w:val="28"/>
          <w:szCs w:val="28"/>
        </w:rPr>
        <w:t>П</w:t>
      </w:r>
      <w:r w:rsidR="00B302AE" w:rsidRPr="003A15CC">
        <w:rPr>
          <w:rFonts w:ascii="Times New Roman" w:hAnsi="Times New Roman" w:cs="Times New Roman"/>
          <w:sz w:val="28"/>
          <w:szCs w:val="28"/>
        </w:rPr>
        <w:t>оложения «О бюджетном процессе в городском округе Красноуфимск»</w:t>
      </w:r>
      <w:r w:rsidR="00B302AE">
        <w:rPr>
          <w:rFonts w:ascii="Times New Roman" w:hAnsi="Times New Roman" w:cs="Times New Roman"/>
          <w:sz w:val="28"/>
          <w:szCs w:val="28"/>
        </w:rPr>
        <w:t>, утвержденного решением Думы городского округа Красноуфимск от 27.03.2014 №23/3</w:t>
      </w:r>
      <w:r w:rsidR="00800B75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B302AE">
        <w:rPr>
          <w:rFonts w:ascii="Times New Roman" w:hAnsi="Times New Roman" w:cs="Times New Roman"/>
          <w:sz w:val="28"/>
          <w:szCs w:val="28"/>
        </w:rPr>
        <w:t xml:space="preserve">, </w:t>
      </w:r>
      <w:r w:rsidR="005E2BEE" w:rsidRPr="005E2BEE">
        <w:rPr>
          <w:rFonts w:ascii="Times New Roman" w:hAnsi="Times New Roman" w:cs="Times New Roman"/>
          <w:sz w:val="28"/>
          <w:szCs w:val="28"/>
        </w:rPr>
        <w:t>ст</w:t>
      </w:r>
      <w:r w:rsidR="00800B75">
        <w:rPr>
          <w:rFonts w:ascii="Times New Roman" w:hAnsi="Times New Roman" w:cs="Times New Roman"/>
          <w:sz w:val="28"/>
          <w:szCs w:val="28"/>
        </w:rPr>
        <w:t xml:space="preserve">. </w:t>
      </w:r>
      <w:r w:rsidR="005E2BEE" w:rsidRPr="005E2BEE">
        <w:rPr>
          <w:rFonts w:ascii="Times New Roman" w:hAnsi="Times New Roman" w:cs="Times New Roman"/>
          <w:sz w:val="28"/>
          <w:szCs w:val="28"/>
        </w:rPr>
        <w:t>8 Положения о ревизионной комиссии городского округа Красноуфимск, утвержденного решением Думы городского округа Красноуфимск от 27.10.2011 № 52/3,</w:t>
      </w:r>
      <w:r w:rsidR="00F72F15">
        <w:rPr>
          <w:rFonts w:ascii="Times New Roman" w:hAnsi="Times New Roman" w:cs="Times New Roman"/>
          <w:sz w:val="28"/>
          <w:szCs w:val="28"/>
        </w:rPr>
        <w:t>п</w:t>
      </w:r>
      <w:r w:rsidR="00800B75">
        <w:rPr>
          <w:rFonts w:ascii="Times New Roman" w:hAnsi="Times New Roman" w:cs="Times New Roman"/>
          <w:sz w:val="28"/>
          <w:szCs w:val="28"/>
        </w:rPr>
        <w:t>.</w:t>
      </w:r>
      <w:r w:rsidR="009F4A21">
        <w:rPr>
          <w:rFonts w:ascii="Times New Roman" w:hAnsi="Times New Roman" w:cs="Times New Roman"/>
          <w:sz w:val="28"/>
          <w:szCs w:val="28"/>
        </w:rPr>
        <w:t>2.8 плана работы, утвержденного распоряжением Ревизионной комиссии городского округа Красноуфимский округ от 22.02.2018 № 15</w:t>
      </w:r>
      <w:r w:rsidR="00892E15">
        <w:rPr>
          <w:rFonts w:ascii="Times New Roman" w:hAnsi="Times New Roman" w:cs="Times New Roman"/>
          <w:sz w:val="28"/>
          <w:szCs w:val="28"/>
        </w:rPr>
        <w:t>,</w:t>
      </w:r>
      <w:r w:rsidR="00515FCE">
        <w:rPr>
          <w:rFonts w:ascii="Times New Roman" w:hAnsi="Times New Roman" w:cs="Times New Roman"/>
          <w:sz w:val="28"/>
          <w:szCs w:val="28"/>
        </w:rPr>
        <w:t xml:space="preserve"> </w:t>
      </w:r>
      <w:r w:rsidR="00892E15">
        <w:rPr>
          <w:rFonts w:ascii="Times New Roman" w:hAnsi="Times New Roman" w:cs="Times New Roman"/>
          <w:sz w:val="28"/>
          <w:szCs w:val="28"/>
        </w:rPr>
        <w:t>р</w:t>
      </w:r>
      <w:r w:rsidRPr="003A15CC">
        <w:rPr>
          <w:rFonts w:ascii="Times New Roman" w:hAnsi="Times New Roman" w:cs="Times New Roman"/>
          <w:sz w:val="28"/>
          <w:szCs w:val="28"/>
        </w:rPr>
        <w:t>евизионной комиссией проведена эксп</w:t>
      </w:r>
      <w:r w:rsidR="00515FCE">
        <w:rPr>
          <w:rFonts w:ascii="Times New Roman" w:hAnsi="Times New Roman" w:cs="Times New Roman"/>
          <w:sz w:val="28"/>
          <w:szCs w:val="28"/>
        </w:rPr>
        <w:t xml:space="preserve">ертиза проекта решения Думы «О </w:t>
      </w:r>
      <w:r w:rsidRPr="003A15CC">
        <w:rPr>
          <w:rFonts w:ascii="Times New Roman" w:hAnsi="Times New Roman" w:cs="Times New Roman"/>
          <w:sz w:val="28"/>
          <w:szCs w:val="28"/>
        </w:rPr>
        <w:t>бюджете городского округа Красноуфимск на 201</w:t>
      </w:r>
      <w:r w:rsidR="00504954">
        <w:rPr>
          <w:rFonts w:ascii="Times New Roman" w:hAnsi="Times New Roman" w:cs="Times New Roman"/>
          <w:sz w:val="28"/>
          <w:szCs w:val="28"/>
        </w:rPr>
        <w:t>9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04954">
        <w:rPr>
          <w:rFonts w:ascii="Times New Roman" w:hAnsi="Times New Roman" w:cs="Times New Roman"/>
          <w:sz w:val="28"/>
          <w:szCs w:val="28"/>
        </w:rPr>
        <w:t>20</w:t>
      </w:r>
      <w:r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504954">
        <w:rPr>
          <w:rFonts w:ascii="Times New Roman" w:hAnsi="Times New Roman" w:cs="Times New Roman"/>
          <w:sz w:val="28"/>
          <w:szCs w:val="28"/>
        </w:rPr>
        <w:t>1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годов». Экспертиза проведена с </w:t>
      </w:r>
      <w:r w:rsidR="00504954">
        <w:rPr>
          <w:rFonts w:ascii="Times New Roman" w:hAnsi="Times New Roman" w:cs="Times New Roman"/>
          <w:sz w:val="28"/>
          <w:szCs w:val="28"/>
        </w:rPr>
        <w:t>09</w:t>
      </w:r>
      <w:r w:rsidRPr="003A15CC">
        <w:rPr>
          <w:rFonts w:ascii="Times New Roman" w:hAnsi="Times New Roman" w:cs="Times New Roman"/>
          <w:sz w:val="28"/>
          <w:szCs w:val="28"/>
        </w:rPr>
        <w:t xml:space="preserve"> по 2</w:t>
      </w:r>
      <w:r w:rsidR="00800B75">
        <w:rPr>
          <w:rFonts w:ascii="Times New Roman" w:hAnsi="Times New Roman" w:cs="Times New Roman"/>
          <w:sz w:val="28"/>
          <w:szCs w:val="28"/>
        </w:rPr>
        <w:t>2</w:t>
      </w:r>
      <w:r w:rsidRPr="003A15CC">
        <w:rPr>
          <w:rFonts w:ascii="Times New Roman" w:hAnsi="Times New Roman" w:cs="Times New Roman"/>
          <w:sz w:val="28"/>
          <w:szCs w:val="28"/>
        </w:rPr>
        <w:t xml:space="preserve"> ноября 2017 года</w:t>
      </w:r>
      <w:r w:rsidR="00A75DAC">
        <w:rPr>
          <w:rFonts w:ascii="Times New Roman" w:hAnsi="Times New Roman" w:cs="Times New Roman"/>
          <w:sz w:val="28"/>
          <w:szCs w:val="28"/>
        </w:rPr>
        <w:t>.</w:t>
      </w:r>
    </w:p>
    <w:p w:rsidR="001C6A6F" w:rsidRPr="00807F87" w:rsidRDefault="001C6A6F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935" w:rsidRDefault="00A75DAC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15FCE">
        <w:rPr>
          <w:rFonts w:ascii="Times New Roman" w:hAnsi="Times New Roman" w:cs="Times New Roman"/>
          <w:sz w:val="28"/>
          <w:szCs w:val="28"/>
        </w:rPr>
        <w:t xml:space="preserve">решения Думы «О </w:t>
      </w:r>
      <w:r w:rsidR="00226935" w:rsidRPr="003A15CC">
        <w:rPr>
          <w:rFonts w:ascii="Times New Roman" w:hAnsi="Times New Roman" w:cs="Times New Roman"/>
          <w:sz w:val="28"/>
          <w:szCs w:val="28"/>
        </w:rPr>
        <w:t>бюджете городского округа Красноуфимск на 201</w:t>
      </w:r>
      <w:r w:rsidR="009F4A21">
        <w:rPr>
          <w:rFonts w:ascii="Times New Roman" w:hAnsi="Times New Roman" w:cs="Times New Roman"/>
          <w:sz w:val="28"/>
          <w:szCs w:val="28"/>
        </w:rPr>
        <w:t>9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год</w:t>
      </w:r>
      <w:r w:rsidR="00E07A46" w:rsidRPr="003A15C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F4A21">
        <w:rPr>
          <w:rFonts w:ascii="Times New Roman" w:hAnsi="Times New Roman" w:cs="Times New Roman"/>
          <w:sz w:val="28"/>
          <w:szCs w:val="28"/>
        </w:rPr>
        <w:t>20</w:t>
      </w:r>
      <w:r w:rsidR="00E07A46"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9F4A21">
        <w:rPr>
          <w:rFonts w:ascii="Times New Roman" w:hAnsi="Times New Roman" w:cs="Times New Roman"/>
          <w:sz w:val="28"/>
          <w:szCs w:val="28"/>
        </w:rPr>
        <w:t>1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годов» (далее – Проект) направлен администрацией городского округа в </w:t>
      </w:r>
      <w:r w:rsidR="00A8651D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515FCE">
        <w:rPr>
          <w:rFonts w:ascii="Times New Roman" w:hAnsi="Times New Roman" w:cs="Times New Roman"/>
          <w:sz w:val="28"/>
          <w:szCs w:val="28"/>
        </w:rPr>
        <w:t xml:space="preserve"> </w:t>
      </w:r>
      <w:r w:rsidR="009F4A21">
        <w:rPr>
          <w:rFonts w:ascii="Times New Roman" w:hAnsi="Times New Roman" w:cs="Times New Roman"/>
          <w:sz w:val="28"/>
          <w:szCs w:val="28"/>
        </w:rPr>
        <w:t>09</w:t>
      </w:r>
      <w:r w:rsidR="00226935" w:rsidRPr="003A15CC">
        <w:rPr>
          <w:rFonts w:ascii="Times New Roman" w:hAnsi="Times New Roman" w:cs="Times New Roman"/>
          <w:sz w:val="28"/>
          <w:szCs w:val="28"/>
        </w:rPr>
        <w:t>.11.201</w:t>
      </w:r>
      <w:r w:rsidR="009F4A21">
        <w:rPr>
          <w:rFonts w:ascii="Times New Roman" w:hAnsi="Times New Roman" w:cs="Times New Roman"/>
          <w:sz w:val="28"/>
          <w:szCs w:val="28"/>
        </w:rPr>
        <w:t>8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– в срок, установленный </w:t>
      </w:r>
      <w:r w:rsidR="00E07A46" w:rsidRPr="003A15CC">
        <w:rPr>
          <w:rFonts w:ascii="Times New Roman" w:hAnsi="Times New Roman" w:cs="Times New Roman"/>
          <w:sz w:val="28"/>
          <w:szCs w:val="28"/>
        </w:rPr>
        <w:t>пунктом 1 ст</w:t>
      </w:r>
      <w:r w:rsidR="00515FCE">
        <w:rPr>
          <w:rFonts w:ascii="Times New Roman" w:hAnsi="Times New Roman" w:cs="Times New Roman"/>
          <w:sz w:val="28"/>
          <w:szCs w:val="28"/>
        </w:rPr>
        <w:t>.</w:t>
      </w:r>
      <w:r w:rsidR="00226935" w:rsidRPr="003A15CC">
        <w:rPr>
          <w:rFonts w:ascii="Times New Roman" w:hAnsi="Times New Roman" w:cs="Times New Roman"/>
          <w:sz w:val="28"/>
          <w:szCs w:val="28"/>
        </w:rPr>
        <w:t xml:space="preserve"> 8 </w:t>
      </w:r>
      <w:r w:rsidR="009F4A21">
        <w:rPr>
          <w:rFonts w:ascii="Times New Roman" w:hAnsi="Times New Roman" w:cs="Times New Roman"/>
          <w:sz w:val="28"/>
          <w:szCs w:val="28"/>
        </w:rPr>
        <w:t>П</w:t>
      </w:r>
      <w:r w:rsidR="00F64C1F">
        <w:rPr>
          <w:rFonts w:ascii="Times New Roman" w:hAnsi="Times New Roman" w:cs="Times New Roman"/>
          <w:sz w:val="28"/>
          <w:szCs w:val="28"/>
        </w:rPr>
        <w:t>оложения «О </w:t>
      </w:r>
      <w:r w:rsidR="00226935" w:rsidRPr="003A15CC">
        <w:rPr>
          <w:rFonts w:ascii="Times New Roman" w:hAnsi="Times New Roman" w:cs="Times New Roman"/>
          <w:sz w:val="28"/>
          <w:szCs w:val="28"/>
        </w:rPr>
        <w:t>бюджетном процессе в городском округе Красноуфимск».</w:t>
      </w:r>
    </w:p>
    <w:p w:rsidR="00892E15" w:rsidRDefault="00892E15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935" w:rsidRDefault="00226935" w:rsidP="0080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sz w:val="28"/>
          <w:szCs w:val="28"/>
        </w:rPr>
        <w:tab/>
      </w:r>
      <w:r w:rsidRPr="00321099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одновременно с Проектом, соответствует требованиям </w:t>
      </w:r>
      <w:r w:rsidR="00892E15" w:rsidRPr="00892E15">
        <w:rPr>
          <w:rFonts w:ascii="Times New Roman" w:hAnsi="Times New Roman" w:cs="Times New Roman"/>
          <w:sz w:val="28"/>
          <w:szCs w:val="28"/>
        </w:rPr>
        <w:t>ст. 184.2 Бю</w:t>
      </w:r>
      <w:r w:rsidR="004C1A12">
        <w:rPr>
          <w:rFonts w:ascii="Times New Roman" w:hAnsi="Times New Roman" w:cs="Times New Roman"/>
          <w:sz w:val="28"/>
          <w:szCs w:val="28"/>
        </w:rPr>
        <w:t>джетного кодекса РФ (далее – БК </w:t>
      </w:r>
      <w:r w:rsidR="00892E15" w:rsidRPr="00892E15">
        <w:rPr>
          <w:rFonts w:ascii="Times New Roman" w:hAnsi="Times New Roman" w:cs="Times New Roman"/>
          <w:sz w:val="28"/>
          <w:szCs w:val="28"/>
        </w:rPr>
        <w:t>РФ)</w:t>
      </w:r>
      <w:r w:rsidR="00892E15">
        <w:rPr>
          <w:rFonts w:ascii="Times New Roman" w:hAnsi="Times New Roman" w:cs="Times New Roman"/>
          <w:sz w:val="28"/>
          <w:szCs w:val="28"/>
        </w:rPr>
        <w:t xml:space="preserve">, </w:t>
      </w:r>
      <w:r w:rsidRPr="00321099">
        <w:rPr>
          <w:rFonts w:ascii="Times New Roman" w:hAnsi="Times New Roman" w:cs="Times New Roman"/>
          <w:sz w:val="28"/>
          <w:szCs w:val="28"/>
        </w:rPr>
        <w:t>ст</w:t>
      </w:r>
      <w:r w:rsidR="00800B75" w:rsidRPr="00321099">
        <w:rPr>
          <w:rFonts w:ascii="Times New Roman" w:hAnsi="Times New Roman" w:cs="Times New Roman"/>
          <w:sz w:val="28"/>
          <w:szCs w:val="28"/>
        </w:rPr>
        <w:t xml:space="preserve">. </w:t>
      </w:r>
      <w:r w:rsidRPr="00321099">
        <w:rPr>
          <w:rFonts w:ascii="Times New Roman" w:hAnsi="Times New Roman" w:cs="Times New Roman"/>
          <w:sz w:val="28"/>
          <w:szCs w:val="28"/>
        </w:rPr>
        <w:t xml:space="preserve">7 </w:t>
      </w:r>
      <w:r w:rsidR="00800B75" w:rsidRPr="00321099">
        <w:rPr>
          <w:rFonts w:ascii="Times New Roman" w:hAnsi="Times New Roman" w:cs="Times New Roman"/>
          <w:sz w:val="28"/>
          <w:szCs w:val="28"/>
        </w:rPr>
        <w:t>П</w:t>
      </w:r>
      <w:r w:rsidRPr="00321099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800B75" w:rsidRPr="0032109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Pr="00321099">
        <w:rPr>
          <w:rFonts w:ascii="Times New Roman" w:hAnsi="Times New Roman" w:cs="Times New Roman"/>
          <w:sz w:val="28"/>
          <w:szCs w:val="28"/>
        </w:rPr>
        <w:t>.</w:t>
      </w:r>
    </w:p>
    <w:p w:rsidR="00107785" w:rsidRDefault="00107785" w:rsidP="0080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87" w:rsidRDefault="00807F87" w:rsidP="0080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E15" w:rsidRDefault="00892E15" w:rsidP="0080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87" w:rsidRPr="00807F87" w:rsidRDefault="00807F87" w:rsidP="0080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C1F" w:rsidRPr="00807F87" w:rsidRDefault="00E07A46" w:rsidP="00807F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проекта решения Думы </w:t>
      </w:r>
    </w:p>
    <w:p w:rsidR="00F64C1F" w:rsidRPr="00807F87" w:rsidRDefault="00E07A46" w:rsidP="00807F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 xml:space="preserve">«О  бюджете городского округа Красноуфимск </w:t>
      </w:r>
    </w:p>
    <w:p w:rsidR="00E07A46" w:rsidRPr="00807F87" w:rsidRDefault="00E07A46" w:rsidP="00807F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>на 201</w:t>
      </w:r>
      <w:r w:rsidR="00107785" w:rsidRPr="00807F87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807F87">
        <w:rPr>
          <w:rFonts w:ascii="Times New Roman" w:hAnsi="Times New Roman" w:cs="Times New Roman"/>
          <w:sz w:val="28"/>
          <w:szCs w:val="28"/>
        </w:rPr>
        <w:t xml:space="preserve"> и 202</w:t>
      </w:r>
      <w:r w:rsidR="00107785" w:rsidRPr="00807F87">
        <w:rPr>
          <w:rFonts w:ascii="Times New Roman" w:hAnsi="Times New Roman" w:cs="Times New Roman"/>
          <w:sz w:val="28"/>
          <w:szCs w:val="28"/>
        </w:rPr>
        <w:t>1</w:t>
      </w:r>
      <w:r w:rsidRPr="00807F8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07785" w:rsidRPr="00164150" w:rsidRDefault="00107785" w:rsidP="0080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07785" w:rsidRDefault="00107785" w:rsidP="0080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A9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ваниями п. 4 ст. 169 БК РФ и п. 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 ст. 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бюджетном процессе </w:t>
      </w:r>
      <w:r w:rsidRPr="00C04DA9">
        <w:rPr>
          <w:rFonts w:ascii="Times New Roman" w:hAnsi="Times New Roman" w:cs="Times New Roman"/>
          <w:color w:val="000000"/>
          <w:sz w:val="28"/>
          <w:szCs w:val="28"/>
        </w:rPr>
        <w:t>Проект составлен на три года: очередной финансовый год (201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 год) и на плановый период (20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04DA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04DA9" w:rsidRPr="00C04DA9">
        <w:rPr>
          <w:rFonts w:ascii="Times New Roman" w:hAnsi="Times New Roman" w:cs="Times New Roman"/>
          <w:color w:val="000000"/>
          <w:sz w:val="28"/>
          <w:szCs w:val="28"/>
        </w:rPr>
        <w:t>1 годов).</w:t>
      </w:r>
    </w:p>
    <w:p w:rsidR="00E07A46" w:rsidRDefault="00107785" w:rsidP="0080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ст. 172 БК РФ, п. </w:t>
      </w:r>
      <w:r w:rsidR="00800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="00800B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C1F">
        <w:rPr>
          <w:rFonts w:ascii="Times New Roman" w:hAnsi="Times New Roman" w:cs="Times New Roman"/>
          <w:color w:val="000000"/>
          <w:sz w:val="28"/>
          <w:szCs w:val="28"/>
        </w:rPr>
        <w:t>Положения о </w:t>
      </w:r>
      <w:r w:rsidR="00800B75">
        <w:rPr>
          <w:rFonts w:ascii="Times New Roman" w:hAnsi="Times New Roman" w:cs="Times New Roman"/>
          <w:color w:val="000000"/>
          <w:sz w:val="28"/>
          <w:szCs w:val="28"/>
        </w:rPr>
        <w:t>бюджетном процессе</w:t>
      </w: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 Проект составлен на основе одобренного </w:t>
      </w:r>
      <w:r w:rsidR="00515FC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городского округа Красноуфимск от 14.08.2018 № 586 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7785">
        <w:rPr>
          <w:rFonts w:ascii="Times New Roman" w:hAnsi="Times New Roman" w:cs="Times New Roman"/>
          <w:color w:val="000000"/>
          <w:sz w:val="28"/>
          <w:szCs w:val="28"/>
        </w:rPr>
        <w:t xml:space="preserve">рогноза социально-экономического развития 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64C1F">
        <w:rPr>
          <w:rFonts w:ascii="Times New Roman" w:hAnsi="Times New Roman" w:cs="Times New Roman"/>
          <w:color w:val="000000"/>
          <w:sz w:val="28"/>
          <w:szCs w:val="28"/>
        </w:rPr>
        <w:t>родского округа Красноуфимск на 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>2019 – 2021 годы</w:t>
      </w:r>
      <w:r w:rsidR="005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68C">
        <w:rPr>
          <w:rFonts w:ascii="Times New Roman" w:hAnsi="Times New Roman" w:cs="Times New Roman"/>
          <w:color w:val="000000"/>
          <w:sz w:val="28"/>
          <w:szCs w:val="28"/>
        </w:rPr>
        <w:t xml:space="preserve">(далее  </w:t>
      </w:r>
      <w:r w:rsidR="0062768C" w:rsidRPr="003A15CC">
        <w:rPr>
          <w:rFonts w:ascii="Times New Roman" w:hAnsi="Times New Roman" w:cs="Times New Roman"/>
          <w:sz w:val="28"/>
          <w:szCs w:val="28"/>
        </w:rPr>
        <w:t>–</w:t>
      </w:r>
      <w:r w:rsidR="0062768C">
        <w:rPr>
          <w:rFonts w:ascii="Times New Roman" w:hAnsi="Times New Roman" w:cs="Times New Roman"/>
          <w:color w:val="000000"/>
          <w:sz w:val="28"/>
          <w:szCs w:val="28"/>
        </w:rPr>
        <w:t xml:space="preserve"> Прогноз)</w:t>
      </w:r>
      <w:r w:rsidR="00436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768C" w:rsidRDefault="0062768C" w:rsidP="0080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Прогнозу сохраняется динамика снижения численности постоянного населения городского округа Красноуфимск. Показатель уменьшается 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>с каждым последующим годомна 0,9 % (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E7F78">
        <w:rPr>
          <w:rFonts w:ascii="Times New Roman" w:hAnsi="Times New Roman" w:cs="Times New Roman"/>
          <w:color w:val="000000"/>
          <w:sz w:val="28"/>
          <w:szCs w:val="28"/>
        </w:rPr>
        <w:t xml:space="preserve"> – 39 304 чел., 2018 год – 38 959 чел., 2019 год – 38 601 чел., 2020 год – 38 319 чел., 2021 год – 37 881 чел.).</w:t>
      </w:r>
    </w:p>
    <w:p w:rsidR="004366E5" w:rsidRPr="000F3C82" w:rsidRDefault="00FA5B1A" w:rsidP="0080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«Доходы населения</w:t>
      </w:r>
      <w:r w:rsidR="00A240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млн. руб.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40EA">
        <w:rPr>
          <w:rFonts w:ascii="Times New Roman" w:hAnsi="Times New Roman" w:cs="Times New Roman"/>
          <w:sz w:val="28"/>
          <w:szCs w:val="28"/>
        </w:rPr>
        <w:t>увеличивается в динамике по годам: 201</w:t>
      </w:r>
      <w:r w:rsidR="00036672">
        <w:rPr>
          <w:rFonts w:ascii="Times New Roman" w:hAnsi="Times New Roman" w:cs="Times New Roman"/>
          <w:sz w:val="28"/>
          <w:szCs w:val="28"/>
        </w:rPr>
        <w:t>8 – на 0,9 % и составят 6 948,6 </w:t>
      </w:r>
      <w:r w:rsidR="00A240EA">
        <w:rPr>
          <w:rFonts w:ascii="Times New Roman" w:hAnsi="Times New Roman" w:cs="Times New Roman"/>
          <w:sz w:val="28"/>
          <w:szCs w:val="28"/>
        </w:rPr>
        <w:t>млн. руб.;  2019 – 2,2 % (7 102,1 млн</w:t>
      </w:r>
      <w:r w:rsidR="00036672">
        <w:rPr>
          <w:rFonts w:ascii="Times New Roman" w:hAnsi="Times New Roman" w:cs="Times New Roman"/>
          <w:sz w:val="28"/>
          <w:szCs w:val="28"/>
        </w:rPr>
        <w:t>. руб.); 2020  – 2,2 % (7 258,5 </w:t>
      </w:r>
      <w:r w:rsidR="00A240EA">
        <w:rPr>
          <w:rFonts w:ascii="Times New Roman" w:hAnsi="Times New Roman" w:cs="Times New Roman"/>
          <w:sz w:val="28"/>
          <w:szCs w:val="28"/>
        </w:rPr>
        <w:t xml:space="preserve">млн. руб.); 2021 – 3,4 % (7 504,1 млн. руб.). </w:t>
      </w:r>
    </w:p>
    <w:p w:rsidR="006831BF" w:rsidRPr="00807F87" w:rsidRDefault="00515FCE" w:rsidP="00807F8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прогнозируемом </w:t>
      </w:r>
      <w:r w:rsidR="006831BF" w:rsidRPr="00807F87">
        <w:rPr>
          <w:rFonts w:ascii="Times New Roman" w:hAnsi="Times New Roman" w:cs="Times New Roman"/>
          <w:sz w:val="28"/>
          <w:szCs w:val="28"/>
        </w:rPr>
        <w:t xml:space="preserve">периоде сохранится положительная динамика </w:t>
      </w:r>
      <w:r w:rsidR="00F64C1F" w:rsidRPr="00807F87">
        <w:rPr>
          <w:rFonts w:ascii="Times New Roman" w:hAnsi="Times New Roman" w:cs="Times New Roman"/>
          <w:sz w:val="28"/>
          <w:szCs w:val="28"/>
        </w:rPr>
        <w:t>по </w:t>
      </w:r>
      <w:r w:rsidR="006831BF" w:rsidRPr="00807F87"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6831BF" w:rsidRPr="00807F87" w:rsidRDefault="00036672" w:rsidP="00807F8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831BF" w:rsidRPr="00807F87">
        <w:rPr>
          <w:rFonts w:ascii="Times New Roman" w:hAnsi="Times New Roman" w:cs="Times New Roman"/>
          <w:sz w:val="28"/>
          <w:szCs w:val="28"/>
        </w:rPr>
        <w:t>доходы с  0,5  до 17,8 %;</w:t>
      </w:r>
    </w:p>
    <w:p w:rsidR="006831BF" w:rsidRPr="00807F87" w:rsidRDefault="006831BF" w:rsidP="00807F8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>- оборот организаций (по полному кругу) с 3,8 до 6,9 %;</w:t>
      </w:r>
    </w:p>
    <w:p w:rsidR="004B7FB6" w:rsidRPr="00807F87" w:rsidRDefault="004B7FB6" w:rsidP="00807F8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>- объем инвестиций в основной капитал за счет всех источников финансирования с 4,8 до 52,6 %.</w:t>
      </w:r>
    </w:p>
    <w:p w:rsidR="004B7FB6" w:rsidRPr="00164150" w:rsidRDefault="004B7FB6" w:rsidP="00807F8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29FA" w:rsidRPr="00807F87" w:rsidRDefault="004B7FB6" w:rsidP="00807F8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городского округа Красноуфимск на 2019 год и плановый период 2020 и 2021 годов сформированы в соответствии с бюджетным законодательством РФ, Указом </w:t>
      </w:r>
      <w:r w:rsidR="00F64C1F" w:rsidRPr="00807F87">
        <w:rPr>
          <w:rFonts w:ascii="Times New Roman" w:hAnsi="Times New Roman" w:cs="Times New Roman"/>
          <w:sz w:val="28"/>
          <w:szCs w:val="28"/>
        </w:rPr>
        <w:t>Г</w:t>
      </w:r>
      <w:r w:rsidRPr="00807F87">
        <w:rPr>
          <w:rFonts w:ascii="Times New Roman" w:hAnsi="Times New Roman" w:cs="Times New Roman"/>
          <w:sz w:val="28"/>
          <w:szCs w:val="28"/>
        </w:rPr>
        <w:t>убернатора Свердловско</w:t>
      </w:r>
      <w:r w:rsidR="00036672">
        <w:rPr>
          <w:rFonts w:ascii="Times New Roman" w:hAnsi="Times New Roman" w:cs="Times New Roman"/>
          <w:sz w:val="28"/>
          <w:szCs w:val="28"/>
        </w:rPr>
        <w:t>й области от 15.10.2018                                              № 504–УК </w:t>
      </w:r>
      <w:r w:rsidR="00515FCE">
        <w:rPr>
          <w:rFonts w:ascii="Times New Roman" w:hAnsi="Times New Roman" w:cs="Times New Roman"/>
          <w:sz w:val="28"/>
          <w:szCs w:val="28"/>
        </w:rPr>
        <w:t xml:space="preserve">«Об </w:t>
      </w:r>
      <w:r w:rsidR="008B29FA" w:rsidRPr="00807F87">
        <w:rPr>
          <w:rFonts w:ascii="Times New Roman" w:hAnsi="Times New Roman" w:cs="Times New Roman"/>
          <w:sz w:val="28"/>
          <w:szCs w:val="28"/>
        </w:rPr>
        <w:t>утверждении основных направлений бюджетной и налоговой политики Свердловской области на 2019 год и план</w:t>
      </w:r>
      <w:r w:rsidR="00515FCE">
        <w:rPr>
          <w:rFonts w:ascii="Times New Roman" w:hAnsi="Times New Roman" w:cs="Times New Roman"/>
          <w:sz w:val="28"/>
          <w:szCs w:val="28"/>
        </w:rPr>
        <w:t xml:space="preserve">овый период 2020 и 2021 годов и </w:t>
      </w:r>
      <w:r w:rsidR="008B29FA" w:rsidRPr="00807F87">
        <w:rPr>
          <w:rFonts w:ascii="Times New Roman" w:hAnsi="Times New Roman" w:cs="Times New Roman"/>
          <w:sz w:val="28"/>
          <w:szCs w:val="28"/>
        </w:rPr>
        <w:t>долговой политики Свердловской области на 2019 год и плановый период 2020 и 2021 годов».</w:t>
      </w:r>
    </w:p>
    <w:p w:rsidR="004B7FB6" w:rsidRPr="00807F87" w:rsidRDefault="008B29FA" w:rsidP="00807F8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t>Налоговая и бюджетная политика городского округа Красноуфимск   на 2019 год и плановый период 2020 и 2021 годов направлена на повышение эффективности администрирования местных налогов</w:t>
      </w:r>
      <w:r w:rsidR="00F64C1F" w:rsidRPr="00807F87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807F87">
        <w:rPr>
          <w:rFonts w:ascii="Times New Roman" w:hAnsi="Times New Roman" w:cs="Times New Roman"/>
          <w:sz w:val="28"/>
          <w:szCs w:val="28"/>
        </w:rPr>
        <w:t>поддержани</w:t>
      </w:r>
      <w:r w:rsidR="00F64C1F" w:rsidRPr="00807F87">
        <w:rPr>
          <w:rFonts w:ascii="Times New Roman" w:hAnsi="Times New Roman" w:cs="Times New Roman"/>
          <w:sz w:val="28"/>
          <w:szCs w:val="28"/>
        </w:rPr>
        <w:t>е</w:t>
      </w:r>
      <w:r w:rsidRPr="00807F87">
        <w:rPr>
          <w:rFonts w:ascii="Times New Roman" w:hAnsi="Times New Roman" w:cs="Times New Roman"/>
          <w:sz w:val="28"/>
          <w:szCs w:val="28"/>
        </w:rPr>
        <w:t xml:space="preserve"> оптимального уровня действующих расходных обязательств и</w:t>
      </w:r>
      <w:r w:rsidR="00F64C1F" w:rsidRPr="00807F87">
        <w:rPr>
          <w:rFonts w:ascii="Times New Roman" w:hAnsi="Times New Roman" w:cs="Times New Roman"/>
          <w:sz w:val="28"/>
          <w:szCs w:val="28"/>
        </w:rPr>
        <w:t> </w:t>
      </w:r>
      <w:r w:rsidRPr="00807F87">
        <w:rPr>
          <w:rFonts w:ascii="Times New Roman" w:hAnsi="Times New Roman" w:cs="Times New Roman"/>
          <w:sz w:val="28"/>
          <w:szCs w:val="28"/>
        </w:rPr>
        <w:t>финансирование принимаемых расходных обязательств за счет заимствований.</w:t>
      </w:r>
    </w:p>
    <w:p w:rsidR="000F3C82" w:rsidRDefault="000F3C82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150" w:rsidRPr="00807F87" w:rsidRDefault="00164150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46" w:rsidRPr="00807F87" w:rsidRDefault="00E07A46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F87"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бюджета городского округа Красноуфимск за 201</w:t>
      </w:r>
      <w:r w:rsidR="005A31DE" w:rsidRPr="00807F87">
        <w:rPr>
          <w:rFonts w:ascii="Times New Roman" w:hAnsi="Times New Roman" w:cs="Times New Roman"/>
          <w:sz w:val="28"/>
          <w:szCs w:val="28"/>
        </w:rPr>
        <w:t>7</w:t>
      </w:r>
      <w:r w:rsidRPr="00807F87">
        <w:rPr>
          <w:rFonts w:ascii="Times New Roman" w:hAnsi="Times New Roman" w:cs="Times New Roman"/>
          <w:sz w:val="28"/>
          <w:szCs w:val="28"/>
        </w:rPr>
        <w:t xml:space="preserve"> – 202</w:t>
      </w:r>
      <w:r w:rsidR="005A31DE" w:rsidRPr="00807F87">
        <w:rPr>
          <w:rFonts w:ascii="Times New Roman" w:hAnsi="Times New Roman" w:cs="Times New Roman"/>
          <w:sz w:val="28"/>
          <w:szCs w:val="28"/>
        </w:rPr>
        <w:t>1</w:t>
      </w:r>
      <w:r w:rsidRPr="00807F87">
        <w:rPr>
          <w:rFonts w:ascii="Times New Roman" w:hAnsi="Times New Roman" w:cs="Times New Roman"/>
          <w:sz w:val="28"/>
          <w:szCs w:val="28"/>
        </w:rPr>
        <w:t xml:space="preserve"> годы</w:t>
      </w:r>
      <w:r w:rsidR="00F64C1F" w:rsidRPr="00807F87">
        <w:rPr>
          <w:rFonts w:ascii="Times New Roman" w:hAnsi="Times New Roman" w:cs="Times New Roman"/>
          <w:sz w:val="28"/>
          <w:szCs w:val="28"/>
        </w:rPr>
        <w:t xml:space="preserve"> в тыс. руб. </w:t>
      </w:r>
      <w:r w:rsidRPr="00807F87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AD6B0B">
        <w:rPr>
          <w:rFonts w:ascii="Times New Roman" w:hAnsi="Times New Roman" w:cs="Times New Roman"/>
          <w:sz w:val="28"/>
          <w:szCs w:val="28"/>
        </w:rPr>
        <w:t xml:space="preserve">№ </w:t>
      </w:r>
      <w:r w:rsidRPr="00807F87">
        <w:rPr>
          <w:rFonts w:ascii="Times New Roman" w:hAnsi="Times New Roman" w:cs="Times New Roman"/>
          <w:sz w:val="28"/>
          <w:szCs w:val="28"/>
        </w:rPr>
        <w:t>1</w:t>
      </w:r>
      <w:r w:rsidR="00AD6B0B">
        <w:rPr>
          <w:rFonts w:ascii="Times New Roman" w:hAnsi="Times New Roman" w:cs="Times New Roman"/>
          <w:sz w:val="28"/>
          <w:szCs w:val="28"/>
        </w:rPr>
        <w:t>.</w:t>
      </w:r>
    </w:p>
    <w:p w:rsidR="00E07A46" w:rsidRPr="003A15CC" w:rsidRDefault="00E07A46" w:rsidP="00807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1B9F">
        <w:rPr>
          <w:rFonts w:ascii="Times New Roman" w:hAnsi="Times New Roman" w:cs="Times New Roman"/>
          <w:sz w:val="28"/>
          <w:szCs w:val="28"/>
        </w:rPr>
        <w:t xml:space="preserve">№ </w:t>
      </w:r>
      <w:r w:rsidRPr="003A15C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Look w:val="04A0"/>
      </w:tblPr>
      <w:tblGrid>
        <w:gridCol w:w="912"/>
        <w:gridCol w:w="1071"/>
        <w:gridCol w:w="1071"/>
        <w:gridCol w:w="1071"/>
        <w:gridCol w:w="1071"/>
        <w:gridCol w:w="1071"/>
        <w:gridCol w:w="1071"/>
        <w:gridCol w:w="1071"/>
        <w:gridCol w:w="1162"/>
      </w:tblGrid>
      <w:tr w:rsidR="0006097B" w:rsidRPr="0006097B" w:rsidTr="00117E96">
        <w:trPr>
          <w:trHeight w:val="41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проекта решения 2019 года от ожидаемого исполнения 2018 года</w:t>
            </w:r>
          </w:p>
        </w:tc>
      </w:tr>
      <w:tr w:rsidR="0006097B" w:rsidRPr="0006097B" w:rsidTr="00117E96">
        <w:trPr>
          <w:cantSplit/>
          <w:trHeight w:val="1432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7B" w:rsidRPr="0006097B" w:rsidRDefault="0006097B" w:rsidP="000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Уточненный план на 18.10.2018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Ожидаемое исполнение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7B" w:rsidRPr="0006097B" w:rsidRDefault="0006097B" w:rsidP="000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097B" w:rsidRPr="0006097B" w:rsidTr="00117E96">
        <w:trPr>
          <w:trHeight w:val="327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1 213 872,6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1 203 966,2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1 446 955,5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1 417 280,7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1 259 770,4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1 231 609,6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1 292 390,0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-157 510,3</w:t>
            </w:r>
          </w:p>
        </w:tc>
      </w:tr>
      <w:tr w:rsidR="0006097B" w:rsidRPr="0006097B" w:rsidTr="00117E96">
        <w:trPr>
          <w:trHeight w:val="327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1 256 738,8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1 183 084,0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1 506 439,9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1 446 205,2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1 282 734,6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1 246 918,6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-163 470,6</w:t>
            </w:r>
          </w:p>
        </w:tc>
      </w:tr>
      <w:tr w:rsidR="0006097B" w:rsidRPr="0006097B" w:rsidTr="00117E96">
        <w:trPr>
          <w:trHeight w:val="311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Дефицит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-42 866,2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20 882,2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-59 484,4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-28 924,5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-22 964,2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-15 309,0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-7 654,0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7B" w:rsidRPr="0006097B" w:rsidRDefault="0006097B" w:rsidP="00060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0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5 960,3</w:t>
            </w:r>
          </w:p>
        </w:tc>
      </w:tr>
    </w:tbl>
    <w:p w:rsidR="00E07A46" w:rsidRPr="00164150" w:rsidRDefault="00E07A46" w:rsidP="00807F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31C5" w:rsidRDefault="00EF31C5" w:rsidP="0080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71F0" w:rsidRPr="005171F0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ы на 2019 год предусмотрены </w:t>
      </w:r>
      <w:r w:rsidR="00F64C1F">
        <w:rPr>
          <w:rFonts w:ascii="Times New Roman" w:hAnsi="Times New Roman" w:cs="Times New Roman"/>
          <w:sz w:val="28"/>
          <w:szCs w:val="28"/>
        </w:rPr>
        <w:t>ниже ожидаемого исполнения  в </w:t>
      </w:r>
      <w:r>
        <w:rPr>
          <w:rFonts w:ascii="Times New Roman" w:hAnsi="Times New Roman" w:cs="Times New Roman"/>
          <w:sz w:val="28"/>
          <w:szCs w:val="28"/>
        </w:rPr>
        <w:t>2018 году на 157 510,3 тыс. руб. и составят 1 259 770,4 тыс. рублей.</w:t>
      </w:r>
    </w:p>
    <w:p w:rsidR="00EF31C5" w:rsidRDefault="00EF31C5" w:rsidP="0080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2019 год предусмотрен</w:t>
      </w:r>
      <w:r w:rsidR="00F64C1F">
        <w:rPr>
          <w:rFonts w:ascii="Times New Roman" w:hAnsi="Times New Roman" w:cs="Times New Roman"/>
          <w:sz w:val="28"/>
          <w:szCs w:val="28"/>
        </w:rPr>
        <w:t>ы ниже ожидаемого исполнения  в </w:t>
      </w:r>
      <w:r>
        <w:rPr>
          <w:rFonts w:ascii="Times New Roman" w:hAnsi="Times New Roman" w:cs="Times New Roman"/>
          <w:sz w:val="28"/>
          <w:szCs w:val="28"/>
        </w:rPr>
        <w:t>2018 году на 163 470,6 тыс. руб. и составят 1 282 734,6 тыс. рублей.</w:t>
      </w:r>
    </w:p>
    <w:p w:rsidR="005171F0" w:rsidRDefault="00515FCE" w:rsidP="0080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31C5">
        <w:rPr>
          <w:rFonts w:ascii="Times New Roman" w:hAnsi="Times New Roman" w:cs="Times New Roman"/>
          <w:sz w:val="28"/>
          <w:szCs w:val="28"/>
        </w:rPr>
        <w:t>ефицит бюджета п</w:t>
      </w:r>
      <w:r w:rsidR="00892E15">
        <w:rPr>
          <w:rFonts w:ascii="Times New Roman" w:hAnsi="Times New Roman" w:cs="Times New Roman"/>
          <w:sz w:val="28"/>
          <w:szCs w:val="28"/>
        </w:rPr>
        <w:t>ланируется ниже на 5 960,3 тыс. </w:t>
      </w:r>
      <w:r w:rsidR="00EF31C5">
        <w:rPr>
          <w:rFonts w:ascii="Times New Roman" w:hAnsi="Times New Roman" w:cs="Times New Roman"/>
          <w:sz w:val="28"/>
          <w:szCs w:val="28"/>
        </w:rPr>
        <w:t>руб</w:t>
      </w:r>
      <w:r w:rsidR="00F64C1F">
        <w:rPr>
          <w:rFonts w:ascii="Times New Roman" w:hAnsi="Times New Roman" w:cs="Times New Roman"/>
          <w:sz w:val="28"/>
          <w:szCs w:val="28"/>
        </w:rPr>
        <w:t>лей</w:t>
      </w:r>
      <w:r w:rsidR="00EF31C5">
        <w:rPr>
          <w:rFonts w:ascii="Times New Roman" w:hAnsi="Times New Roman" w:cs="Times New Roman"/>
          <w:sz w:val="28"/>
          <w:szCs w:val="28"/>
        </w:rPr>
        <w:t>.</w:t>
      </w:r>
    </w:p>
    <w:p w:rsidR="00893187" w:rsidRDefault="00893187" w:rsidP="00893187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93187" w:rsidRDefault="00893187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2809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3187" w:rsidRPr="00892E15" w:rsidRDefault="009A4D7D" w:rsidP="009A4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E15">
        <w:rPr>
          <w:rFonts w:ascii="Times New Roman" w:hAnsi="Times New Roman" w:cs="Times New Roman"/>
          <w:sz w:val="24"/>
          <w:szCs w:val="24"/>
        </w:rPr>
        <w:t>Рисунок 1. Сравнение основных параметров бюджета по годам</w:t>
      </w:r>
    </w:p>
    <w:p w:rsidR="009A4D7D" w:rsidRPr="00164150" w:rsidRDefault="009A4D7D" w:rsidP="0051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2147" w:rsidRDefault="00E07A46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Динамика основн</w:t>
      </w:r>
      <w:r w:rsidR="00AB7372" w:rsidRPr="003A15CC">
        <w:rPr>
          <w:rFonts w:ascii="Times New Roman" w:hAnsi="Times New Roman" w:cs="Times New Roman"/>
          <w:sz w:val="28"/>
          <w:szCs w:val="28"/>
        </w:rPr>
        <w:t>ых характ</w:t>
      </w:r>
      <w:r w:rsidR="00515FCE">
        <w:rPr>
          <w:rFonts w:ascii="Times New Roman" w:hAnsi="Times New Roman" w:cs="Times New Roman"/>
          <w:sz w:val="28"/>
          <w:szCs w:val="28"/>
        </w:rPr>
        <w:t xml:space="preserve">еристик проекта </w:t>
      </w:r>
      <w:r w:rsidR="00EA2516" w:rsidRPr="003A15CC">
        <w:rPr>
          <w:rFonts w:ascii="Times New Roman" w:hAnsi="Times New Roman" w:cs="Times New Roman"/>
          <w:sz w:val="28"/>
          <w:szCs w:val="28"/>
        </w:rPr>
        <w:t>бюджета на</w:t>
      </w:r>
      <w:r w:rsidR="00515FCE">
        <w:rPr>
          <w:rFonts w:ascii="Times New Roman" w:hAnsi="Times New Roman" w:cs="Times New Roman"/>
          <w:sz w:val="28"/>
          <w:szCs w:val="28"/>
        </w:rPr>
        <w:t xml:space="preserve"> </w:t>
      </w:r>
      <w:r w:rsidR="004D2147">
        <w:rPr>
          <w:rFonts w:ascii="Times New Roman" w:hAnsi="Times New Roman" w:cs="Times New Roman"/>
          <w:sz w:val="28"/>
          <w:szCs w:val="28"/>
        </w:rPr>
        <w:t>2019 год и</w:t>
      </w:r>
      <w:r w:rsidR="00E74DDC">
        <w:rPr>
          <w:rFonts w:ascii="Times New Roman" w:hAnsi="Times New Roman" w:cs="Times New Roman"/>
          <w:sz w:val="28"/>
          <w:szCs w:val="28"/>
        </w:rPr>
        <w:t> </w:t>
      </w:r>
      <w:r w:rsidRPr="003A15CC">
        <w:rPr>
          <w:rFonts w:ascii="Times New Roman" w:hAnsi="Times New Roman" w:cs="Times New Roman"/>
          <w:sz w:val="28"/>
          <w:szCs w:val="28"/>
        </w:rPr>
        <w:t>плановый период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20</w:t>
      </w:r>
      <w:r w:rsidR="004D2147">
        <w:rPr>
          <w:rFonts w:ascii="Times New Roman" w:hAnsi="Times New Roman" w:cs="Times New Roman"/>
          <w:sz w:val="28"/>
          <w:szCs w:val="28"/>
        </w:rPr>
        <w:t>20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и 202</w:t>
      </w:r>
      <w:r w:rsidR="004D2147">
        <w:rPr>
          <w:rFonts w:ascii="Times New Roman" w:hAnsi="Times New Roman" w:cs="Times New Roman"/>
          <w:sz w:val="28"/>
          <w:szCs w:val="28"/>
        </w:rPr>
        <w:t>1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годов характеризуется снижением уровня доходов и расходов и у</w:t>
      </w:r>
      <w:r w:rsidR="004D2147">
        <w:rPr>
          <w:rFonts w:ascii="Times New Roman" w:hAnsi="Times New Roman" w:cs="Times New Roman"/>
          <w:sz w:val="28"/>
          <w:szCs w:val="28"/>
        </w:rPr>
        <w:t>меньшением</w:t>
      </w:r>
      <w:r w:rsidRPr="003A15CC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к </w:t>
      </w:r>
      <w:r w:rsidR="004D2147">
        <w:rPr>
          <w:rFonts w:ascii="Times New Roman" w:hAnsi="Times New Roman" w:cs="Times New Roman"/>
          <w:sz w:val="28"/>
          <w:szCs w:val="28"/>
        </w:rPr>
        <w:t>ожидаемому исполнению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D2147">
        <w:rPr>
          <w:rFonts w:ascii="Times New Roman" w:hAnsi="Times New Roman" w:cs="Times New Roman"/>
          <w:sz w:val="28"/>
          <w:szCs w:val="28"/>
        </w:rPr>
        <w:t>а</w:t>
      </w:r>
      <w:r w:rsidR="00AB7372" w:rsidRPr="003A15CC">
        <w:rPr>
          <w:rFonts w:ascii="Times New Roman" w:hAnsi="Times New Roman" w:cs="Times New Roman"/>
          <w:sz w:val="28"/>
          <w:szCs w:val="28"/>
        </w:rPr>
        <w:t xml:space="preserve"> 201</w:t>
      </w:r>
      <w:r w:rsidR="004D2147">
        <w:rPr>
          <w:rFonts w:ascii="Times New Roman" w:hAnsi="Times New Roman" w:cs="Times New Roman"/>
          <w:sz w:val="28"/>
          <w:szCs w:val="28"/>
        </w:rPr>
        <w:t>8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FCE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4D2147">
        <w:rPr>
          <w:rFonts w:ascii="Times New Roman" w:hAnsi="Times New Roman" w:cs="Times New Roman"/>
          <w:sz w:val="28"/>
          <w:szCs w:val="28"/>
        </w:rPr>
        <w:t>:</w:t>
      </w:r>
    </w:p>
    <w:p w:rsidR="005A17EC" w:rsidRDefault="00807F87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17EC">
        <w:rPr>
          <w:rFonts w:ascii="Times New Roman" w:hAnsi="Times New Roman" w:cs="Times New Roman"/>
          <w:sz w:val="28"/>
          <w:szCs w:val="28"/>
        </w:rPr>
        <w:t>применени</w:t>
      </w:r>
      <w:r w:rsidR="00515FCE">
        <w:rPr>
          <w:rFonts w:ascii="Times New Roman" w:hAnsi="Times New Roman" w:cs="Times New Roman"/>
          <w:sz w:val="28"/>
          <w:szCs w:val="28"/>
        </w:rPr>
        <w:t>ем</w:t>
      </w:r>
      <w:r w:rsidR="005A17EC">
        <w:rPr>
          <w:rFonts w:ascii="Times New Roman" w:hAnsi="Times New Roman" w:cs="Times New Roman"/>
          <w:sz w:val="28"/>
          <w:szCs w:val="28"/>
        </w:rPr>
        <w:t xml:space="preserve"> коэффициента оптимиз</w:t>
      </w:r>
      <w:r>
        <w:rPr>
          <w:rFonts w:ascii="Times New Roman" w:hAnsi="Times New Roman" w:cs="Times New Roman"/>
          <w:sz w:val="28"/>
          <w:szCs w:val="28"/>
        </w:rPr>
        <w:t>ации (сокращения) расходов 15 % </w:t>
      </w:r>
      <w:r w:rsidR="005A17EC">
        <w:rPr>
          <w:rFonts w:ascii="Times New Roman" w:hAnsi="Times New Roman" w:cs="Times New Roman"/>
          <w:sz w:val="28"/>
          <w:szCs w:val="28"/>
        </w:rPr>
        <w:t xml:space="preserve">(за исключением расходов на оплату труда) к суммарной оценке расходных полномочий муниципалитетов исходя из прогноза поступления доходов в </w:t>
      </w:r>
      <w:r w:rsidR="00E74DDC">
        <w:rPr>
          <w:rFonts w:ascii="Times New Roman" w:hAnsi="Times New Roman" w:cs="Times New Roman"/>
          <w:sz w:val="28"/>
          <w:szCs w:val="28"/>
        </w:rPr>
        <w:t>б</w:t>
      </w:r>
      <w:r w:rsidR="005A17EC">
        <w:rPr>
          <w:rFonts w:ascii="Times New Roman" w:hAnsi="Times New Roman" w:cs="Times New Roman"/>
          <w:sz w:val="28"/>
          <w:szCs w:val="28"/>
        </w:rPr>
        <w:t>юджет Свердловской области;</w:t>
      </w:r>
    </w:p>
    <w:p w:rsidR="005A17EC" w:rsidRDefault="00807F87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17EC">
        <w:rPr>
          <w:rFonts w:ascii="Times New Roman" w:hAnsi="Times New Roman" w:cs="Times New Roman"/>
          <w:sz w:val="28"/>
          <w:szCs w:val="28"/>
        </w:rPr>
        <w:t>снижени</w:t>
      </w:r>
      <w:r w:rsidR="00515FCE">
        <w:rPr>
          <w:rFonts w:ascii="Times New Roman" w:hAnsi="Times New Roman" w:cs="Times New Roman"/>
          <w:sz w:val="28"/>
          <w:szCs w:val="28"/>
        </w:rPr>
        <w:t>ем</w:t>
      </w:r>
      <w:r w:rsidR="005A17EC">
        <w:rPr>
          <w:rFonts w:ascii="Times New Roman" w:hAnsi="Times New Roman" w:cs="Times New Roman"/>
          <w:sz w:val="28"/>
          <w:szCs w:val="28"/>
        </w:rPr>
        <w:t xml:space="preserve"> прогноза налоговых и нена</w:t>
      </w:r>
      <w:r>
        <w:rPr>
          <w:rFonts w:ascii="Times New Roman" w:hAnsi="Times New Roman" w:cs="Times New Roman"/>
          <w:sz w:val="28"/>
          <w:szCs w:val="28"/>
        </w:rPr>
        <w:t>логовых доходов на 6 566,7 </w:t>
      </w:r>
      <w:r w:rsidR="00E74DDC">
        <w:rPr>
          <w:rFonts w:ascii="Times New Roman" w:hAnsi="Times New Roman" w:cs="Times New Roman"/>
          <w:sz w:val="28"/>
          <w:szCs w:val="28"/>
        </w:rPr>
        <w:t>тыс. </w:t>
      </w:r>
      <w:r w:rsidR="005A17EC">
        <w:rPr>
          <w:rFonts w:ascii="Times New Roman" w:hAnsi="Times New Roman" w:cs="Times New Roman"/>
          <w:sz w:val="28"/>
          <w:szCs w:val="28"/>
        </w:rPr>
        <w:t>руб.;</w:t>
      </w:r>
    </w:p>
    <w:p w:rsidR="005A17EC" w:rsidRDefault="00807F87" w:rsidP="00A66F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17EC">
        <w:rPr>
          <w:rFonts w:ascii="Times New Roman" w:hAnsi="Times New Roman" w:cs="Times New Roman"/>
          <w:sz w:val="28"/>
          <w:szCs w:val="28"/>
        </w:rPr>
        <w:t>уменьшение</w:t>
      </w:r>
      <w:r w:rsidR="00515FCE">
        <w:rPr>
          <w:rFonts w:ascii="Times New Roman" w:hAnsi="Times New Roman" w:cs="Times New Roman"/>
          <w:sz w:val="28"/>
          <w:szCs w:val="28"/>
        </w:rPr>
        <w:t>м</w:t>
      </w:r>
      <w:r w:rsidR="005A17EC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28 299,6 тыс. руб.;</w:t>
      </w:r>
    </w:p>
    <w:p w:rsidR="00BB2D59" w:rsidRDefault="00807F87" w:rsidP="00807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2D59">
        <w:rPr>
          <w:rFonts w:ascii="Times New Roman" w:hAnsi="Times New Roman" w:cs="Times New Roman"/>
          <w:sz w:val="28"/>
          <w:szCs w:val="28"/>
        </w:rPr>
        <w:t>изменение</w:t>
      </w:r>
      <w:r w:rsidR="00515FCE">
        <w:rPr>
          <w:rFonts w:ascii="Times New Roman" w:hAnsi="Times New Roman" w:cs="Times New Roman"/>
          <w:sz w:val="28"/>
          <w:szCs w:val="28"/>
        </w:rPr>
        <w:t>м</w:t>
      </w:r>
      <w:r w:rsidR="00BB2D59">
        <w:rPr>
          <w:rFonts w:ascii="Times New Roman" w:hAnsi="Times New Roman" w:cs="Times New Roman"/>
          <w:sz w:val="28"/>
          <w:szCs w:val="28"/>
        </w:rPr>
        <w:t xml:space="preserve"> расходной части бюджета в связи с увеличением фонда оплаты труда работникам культуры, педагогических работникам организаций дополнительного образования, обеспечения минимального размера оплаты труда работников муниципальных учреждений, работникам органов местного самоуправления ипрочим работникам (в связи с ростом потребительских цен). Кроме того, оптимизация расходов в 2019 году произведена на 1 % по действующим расхо</w:t>
      </w:r>
      <w:r>
        <w:rPr>
          <w:rFonts w:ascii="Times New Roman" w:hAnsi="Times New Roman" w:cs="Times New Roman"/>
          <w:sz w:val="28"/>
          <w:szCs w:val="28"/>
        </w:rPr>
        <w:t>дным обязательствам, на 15 % </w:t>
      </w:r>
      <w:r w:rsidR="00E74DDC">
        <w:rPr>
          <w:rFonts w:ascii="Times New Roman" w:hAnsi="Times New Roman" w:cs="Times New Roman"/>
          <w:sz w:val="28"/>
          <w:szCs w:val="28"/>
        </w:rPr>
        <w:t>по </w:t>
      </w:r>
      <w:r w:rsidR="00BB2D59">
        <w:rPr>
          <w:rFonts w:ascii="Times New Roman" w:hAnsi="Times New Roman" w:cs="Times New Roman"/>
          <w:sz w:val="28"/>
          <w:szCs w:val="28"/>
        </w:rPr>
        <w:t>расходам, учтенным дополнительно на согласительно</w:t>
      </w:r>
      <w:r w:rsidR="00E74DDC">
        <w:rPr>
          <w:rFonts w:ascii="Times New Roman" w:hAnsi="Times New Roman" w:cs="Times New Roman"/>
          <w:sz w:val="28"/>
          <w:szCs w:val="28"/>
        </w:rPr>
        <w:t>й комиссии в </w:t>
      </w:r>
      <w:r w:rsidR="002E1375">
        <w:rPr>
          <w:rFonts w:ascii="Times New Roman" w:hAnsi="Times New Roman" w:cs="Times New Roman"/>
          <w:sz w:val="28"/>
          <w:szCs w:val="28"/>
        </w:rPr>
        <w:t>Министерстве финансов Свердловской области</w:t>
      </w:r>
      <w:r w:rsidR="00295037">
        <w:rPr>
          <w:rFonts w:ascii="Times New Roman" w:hAnsi="Times New Roman" w:cs="Times New Roman"/>
          <w:sz w:val="28"/>
          <w:szCs w:val="28"/>
        </w:rPr>
        <w:t>.</w:t>
      </w:r>
    </w:p>
    <w:p w:rsidR="004F2BF8" w:rsidRPr="00BC4CF7" w:rsidRDefault="004F2BF8" w:rsidP="004F2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60A7F" w:rsidRDefault="00B60A7F" w:rsidP="00AD6B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2293">
        <w:rPr>
          <w:rFonts w:ascii="Times New Roman" w:eastAsia="Times New Roman" w:hAnsi="Times New Roman" w:cs="Times New Roman"/>
          <w:bCs/>
          <w:sz w:val="28"/>
          <w:szCs w:val="28"/>
        </w:rPr>
        <w:t>Соблюдение соответствия проекта решен</w:t>
      </w:r>
      <w:r w:rsidR="00AD6B0B">
        <w:rPr>
          <w:rFonts w:ascii="Times New Roman" w:eastAsia="Times New Roman" w:hAnsi="Times New Roman" w:cs="Times New Roman"/>
          <w:bCs/>
          <w:sz w:val="28"/>
          <w:szCs w:val="28"/>
        </w:rPr>
        <w:t>ия Думы о бюджете, документов и </w:t>
      </w:r>
      <w:r w:rsidRPr="009F229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материалов, представленных одновременно с ним, Бюджетному кодексу Российской Федерации и иным нормативным правовым актам </w:t>
      </w:r>
    </w:p>
    <w:p w:rsidR="004F2BF8" w:rsidRPr="00BC4CF7" w:rsidRDefault="004F2BF8" w:rsidP="004F2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60A7F" w:rsidRPr="003A15CC" w:rsidRDefault="00B60A7F" w:rsidP="004F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5CC">
        <w:rPr>
          <w:rFonts w:ascii="Times New Roman" w:eastAsia="Times New Roman" w:hAnsi="Times New Roman" w:cs="Times New Roman"/>
          <w:sz w:val="28"/>
          <w:szCs w:val="28"/>
        </w:rPr>
        <w:t>Формирование проекта бюджета на 201</w:t>
      </w:r>
      <w:r w:rsidR="00560C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15C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15C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60C83">
        <w:rPr>
          <w:rFonts w:ascii="Times New Roman" w:hAnsi="Times New Roman" w:cs="Times New Roman"/>
          <w:sz w:val="28"/>
          <w:szCs w:val="28"/>
        </w:rPr>
        <w:t>20</w:t>
      </w:r>
      <w:r w:rsidR="00E730A0">
        <w:rPr>
          <w:rFonts w:ascii="Times New Roman" w:hAnsi="Times New Roman" w:cs="Times New Roman"/>
          <w:sz w:val="28"/>
          <w:szCs w:val="28"/>
        </w:rPr>
        <w:t xml:space="preserve"> и </w:t>
      </w:r>
      <w:r w:rsidRPr="003A15CC">
        <w:rPr>
          <w:rFonts w:ascii="Times New Roman" w:hAnsi="Times New Roman" w:cs="Times New Roman"/>
          <w:sz w:val="28"/>
          <w:szCs w:val="28"/>
        </w:rPr>
        <w:t>202</w:t>
      </w:r>
      <w:r w:rsidR="00560C83">
        <w:rPr>
          <w:rFonts w:ascii="Times New Roman" w:hAnsi="Times New Roman" w:cs="Times New Roman"/>
          <w:sz w:val="28"/>
          <w:szCs w:val="28"/>
        </w:rPr>
        <w:t>1</w:t>
      </w:r>
      <w:r w:rsidR="00515FCE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3A15C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в соответствии с нормами БК РФ и </w:t>
      </w:r>
      <w:r w:rsidR="00560C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15CC">
        <w:rPr>
          <w:rFonts w:ascii="Times New Roman" w:eastAsia="Times New Roman" w:hAnsi="Times New Roman" w:cs="Times New Roman"/>
          <w:sz w:val="28"/>
          <w:szCs w:val="28"/>
        </w:rPr>
        <w:t xml:space="preserve">оложения </w:t>
      </w:r>
      <w:r w:rsidR="00560C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30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15CC">
        <w:rPr>
          <w:rFonts w:ascii="Times New Roman" w:eastAsia="Times New Roman" w:hAnsi="Times New Roman" w:cs="Times New Roman"/>
          <w:sz w:val="28"/>
          <w:szCs w:val="28"/>
        </w:rPr>
        <w:t xml:space="preserve">бюджетном процессе. </w:t>
      </w:r>
    </w:p>
    <w:p w:rsidR="00B60A7F" w:rsidRPr="003A15CC" w:rsidRDefault="00B60A7F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5CC">
        <w:rPr>
          <w:rFonts w:ascii="Times New Roman" w:eastAsia="Times New Roman" w:hAnsi="Times New Roman" w:cs="Times New Roman"/>
          <w:sz w:val="28"/>
          <w:szCs w:val="28"/>
        </w:rPr>
        <w:t>В соответствии со ст. 184.1 БК РФ и ст</w:t>
      </w:r>
      <w:r w:rsidR="00515F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15CC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="00560C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15CC">
        <w:rPr>
          <w:rFonts w:ascii="Times New Roman" w:eastAsia="Times New Roman" w:hAnsi="Times New Roman" w:cs="Times New Roman"/>
          <w:sz w:val="28"/>
          <w:szCs w:val="28"/>
        </w:rPr>
        <w:t xml:space="preserve">оложения </w:t>
      </w:r>
      <w:r w:rsidR="00560C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5CC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Проектом определен:</w:t>
      </w:r>
    </w:p>
    <w:p w:rsidR="00B60A7F" w:rsidRPr="0015522C" w:rsidRDefault="00807F87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 и источников финансирования дефицита бюджета;</w:t>
      </w:r>
    </w:p>
    <w:p w:rsidR="00B60A7F" w:rsidRPr="0015522C" w:rsidRDefault="00807F87" w:rsidP="0080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распределены по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="0015522C">
        <w:rPr>
          <w:rFonts w:ascii="Times New Roman" w:eastAsia="Times New Roman" w:hAnsi="Times New Roman" w:cs="Times New Roman"/>
          <w:sz w:val="28"/>
          <w:szCs w:val="28"/>
        </w:rPr>
        <w:t>классификации расходов бюджетов;</w:t>
      </w:r>
    </w:p>
    <w:p w:rsidR="00B60A7F" w:rsidRDefault="00807F87" w:rsidP="0080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15FCE">
        <w:rPr>
          <w:rFonts w:ascii="Times New Roman" w:eastAsia="Times New Roman" w:hAnsi="Times New Roman" w:cs="Times New Roman"/>
          <w:sz w:val="28"/>
          <w:szCs w:val="28"/>
        </w:rPr>
        <w:t xml:space="preserve">определена 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бюджета;</w:t>
      </w:r>
    </w:p>
    <w:p w:rsidR="0015522C" w:rsidRPr="0015522C" w:rsidRDefault="00807F87" w:rsidP="0080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5522C" w:rsidRPr="0015522C">
        <w:rPr>
          <w:rFonts w:ascii="Times New Roman" w:eastAsia="Times New Roman" w:hAnsi="Times New Roman" w:cs="Times New Roman"/>
          <w:sz w:val="28"/>
          <w:szCs w:val="28"/>
        </w:rPr>
        <w:t>определен объем бюджетных ассигнований Дорожного фонда на 201</w:t>
      </w:r>
      <w:r w:rsidR="0015522C">
        <w:rPr>
          <w:rFonts w:ascii="Times New Roman" w:eastAsia="Times New Roman" w:hAnsi="Times New Roman" w:cs="Times New Roman"/>
          <w:sz w:val="28"/>
          <w:szCs w:val="28"/>
        </w:rPr>
        <w:t>9</w:t>
      </w:r>
      <w:r w:rsidR="0015522C" w:rsidRPr="0015522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5522C">
        <w:rPr>
          <w:rFonts w:ascii="Times New Roman" w:eastAsia="Times New Roman" w:hAnsi="Times New Roman" w:cs="Times New Roman"/>
          <w:sz w:val="28"/>
          <w:szCs w:val="28"/>
        </w:rPr>
        <w:t>59 812,4</w:t>
      </w:r>
      <w:r w:rsidR="0015522C" w:rsidRPr="0015522C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15522C" w:rsidRPr="0015522C">
        <w:rPr>
          <w:rFonts w:ascii="Times New Roman" w:hAnsi="Times New Roman" w:cs="Times New Roman"/>
          <w:sz w:val="28"/>
          <w:szCs w:val="28"/>
        </w:rPr>
        <w:t>., на 20</w:t>
      </w:r>
      <w:r w:rsidR="0015522C">
        <w:rPr>
          <w:rFonts w:ascii="Times New Roman" w:hAnsi="Times New Roman" w:cs="Times New Roman"/>
          <w:sz w:val="28"/>
          <w:szCs w:val="28"/>
        </w:rPr>
        <w:t>20</w:t>
      </w:r>
      <w:r w:rsidR="0015522C" w:rsidRPr="0015522C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5522C" w:rsidRPr="0015522C">
        <w:rPr>
          <w:rFonts w:ascii="Times New Roman" w:hAnsi="Times New Roman" w:cs="Times New Roman"/>
          <w:sz w:val="28"/>
          <w:szCs w:val="28"/>
        </w:rPr>
        <w:t xml:space="preserve">д – </w:t>
      </w:r>
      <w:r w:rsidR="0015522C">
        <w:rPr>
          <w:rFonts w:ascii="Times New Roman" w:hAnsi="Times New Roman" w:cs="Times New Roman"/>
          <w:sz w:val="28"/>
          <w:szCs w:val="28"/>
        </w:rPr>
        <w:t>32 115,6</w:t>
      </w:r>
      <w:r w:rsidR="0015522C" w:rsidRPr="0015522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15522C">
        <w:rPr>
          <w:rFonts w:ascii="Times New Roman" w:hAnsi="Times New Roman" w:cs="Times New Roman"/>
          <w:sz w:val="28"/>
          <w:szCs w:val="28"/>
        </w:rPr>
        <w:t>1</w:t>
      </w:r>
      <w:r w:rsidR="0015522C" w:rsidRPr="001552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7DC5">
        <w:rPr>
          <w:rFonts w:ascii="Times New Roman" w:hAnsi="Times New Roman" w:cs="Times New Roman"/>
          <w:sz w:val="28"/>
          <w:szCs w:val="28"/>
        </w:rPr>
        <w:t xml:space="preserve">33 385,5 </w:t>
      </w:r>
      <w:r w:rsidR="00E87DC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B60A7F" w:rsidRPr="0015522C" w:rsidRDefault="00807F87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E730A0">
        <w:rPr>
          <w:rFonts w:ascii="Times New Roman" w:eastAsia="Times New Roman" w:hAnsi="Times New Roman" w:cs="Times New Roman"/>
          <w:sz w:val="28"/>
          <w:szCs w:val="28"/>
        </w:rPr>
        <w:t>определен общий объем бюджетны</w:t>
      </w:r>
      <w:r w:rsidR="004C1A12">
        <w:rPr>
          <w:rFonts w:ascii="Times New Roman" w:eastAsia="Times New Roman" w:hAnsi="Times New Roman" w:cs="Times New Roman"/>
          <w:sz w:val="28"/>
          <w:szCs w:val="28"/>
        </w:rPr>
        <w:t>х ассигнований, направляемых на </w:t>
      </w:r>
      <w:r w:rsidR="00B60A7F" w:rsidRPr="00E730A0">
        <w:rPr>
          <w:rFonts w:ascii="Times New Roman" w:eastAsia="Times New Roman" w:hAnsi="Times New Roman" w:cs="Times New Roman"/>
          <w:sz w:val="28"/>
          <w:szCs w:val="28"/>
        </w:rPr>
        <w:t>исполнение публичных нормативных обязательств</w:t>
      </w:r>
      <w:r w:rsidR="00515F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DC5" w:rsidRPr="00E730A0">
        <w:rPr>
          <w:rFonts w:ascii="Times New Roman" w:eastAsia="Times New Roman" w:hAnsi="Times New Roman" w:cs="Times New Roman"/>
          <w:sz w:val="28"/>
          <w:szCs w:val="28"/>
        </w:rPr>
        <w:t xml:space="preserve"> на 2019 год в сумме 92 396,8 тыс. руб</w:t>
      </w:r>
      <w:r w:rsidR="00E87DC5" w:rsidRPr="00E730A0">
        <w:rPr>
          <w:rFonts w:ascii="Times New Roman" w:hAnsi="Times New Roman" w:cs="Times New Roman"/>
          <w:sz w:val="28"/>
          <w:szCs w:val="28"/>
        </w:rPr>
        <w:t>., на 2020</w:t>
      </w:r>
      <w:r w:rsidR="00E87DC5" w:rsidRPr="00E730A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E87DC5" w:rsidRPr="00E730A0">
        <w:rPr>
          <w:rFonts w:ascii="Times New Roman" w:hAnsi="Times New Roman" w:cs="Times New Roman"/>
          <w:sz w:val="28"/>
          <w:szCs w:val="28"/>
        </w:rPr>
        <w:t>д – 92 410,3 ты</w:t>
      </w:r>
      <w:r w:rsidR="00036672">
        <w:rPr>
          <w:rFonts w:ascii="Times New Roman" w:hAnsi="Times New Roman" w:cs="Times New Roman"/>
          <w:sz w:val="28"/>
          <w:szCs w:val="28"/>
        </w:rPr>
        <w:t>с. руб., на 2021 год – 92 425,2 </w:t>
      </w:r>
      <w:r w:rsidR="00E87DC5" w:rsidRPr="00E730A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B60A7F" w:rsidRPr="00E730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A7F" w:rsidRDefault="00807F87" w:rsidP="0080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определен объем условно утвержденных расхо</w:t>
      </w:r>
      <w:r w:rsidR="00025FB9">
        <w:rPr>
          <w:rFonts w:ascii="Times New Roman" w:eastAsia="Times New Roman" w:hAnsi="Times New Roman" w:cs="Times New Roman"/>
          <w:sz w:val="28"/>
          <w:szCs w:val="28"/>
        </w:rPr>
        <w:t>дов на 2020</w:t>
      </w:r>
      <w:r w:rsidR="00044D5E" w:rsidRPr="0015522C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25FB9">
        <w:rPr>
          <w:rFonts w:ascii="Times New Roman" w:eastAsia="Times New Roman" w:hAnsi="Times New Roman" w:cs="Times New Roman"/>
          <w:sz w:val="28"/>
          <w:szCs w:val="28"/>
        </w:rPr>
        <w:t xml:space="preserve">42 214,0 </w:t>
      </w:r>
      <w:r w:rsidR="00044D5E" w:rsidRPr="0015522C">
        <w:rPr>
          <w:rFonts w:ascii="Times New Roman" w:eastAsia="Times New Roman" w:hAnsi="Times New Roman" w:cs="Times New Roman"/>
          <w:sz w:val="28"/>
          <w:szCs w:val="28"/>
        </w:rPr>
        <w:t>тыс. руб. (</w:t>
      </w:r>
      <w:r w:rsidR="001C1FB7">
        <w:rPr>
          <w:rFonts w:ascii="Times New Roman" w:eastAsia="Times New Roman" w:hAnsi="Times New Roman" w:cs="Times New Roman"/>
          <w:sz w:val="28"/>
          <w:szCs w:val="28"/>
        </w:rPr>
        <w:t xml:space="preserve">8,1 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без учета расходов бюджета, предусмотренных за с</w:t>
      </w:r>
      <w:r w:rsidR="004C1A12">
        <w:rPr>
          <w:rFonts w:ascii="Times New Roman" w:eastAsia="Times New Roman" w:hAnsi="Times New Roman" w:cs="Times New Roman"/>
          <w:sz w:val="28"/>
          <w:szCs w:val="28"/>
        </w:rPr>
        <w:t>чет межбюджетных трансфертов из 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других бюджетов бюджетной системы Российской Федерации, имею</w:t>
      </w:r>
      <w:r w:rsidR="001C1FB7">
        <w:rPr>
          <w:rFonts w:ascii="Times New Roman" w:eastAsia="Times New Roman" w:hAnsi="Times New Roman" w:cs="Times New Roman"/>
          <w:sz w:val="28"/>
          <w:szCs w:val="28"/>
        </w:rPr>
        <w:t>щих целевое назначение), на 2021</w:t>
      </w:r>
      <w:r w:rsidR="00044D5E" w:rsidRPr="0015522C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1C1FB7">
        <w:rPr>
          <w:rFonts w:ascii="Times New Roman" w:eastAsia="Times New Roman" w:hAnsi="Times New Roman" w:cs="Times New Roman"/>
          <w:sz w:val="28"/>
          <w:szCs w:val="28"/>
        </w:rPr>
        <w:t>52 544,3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 xml:space="preserve"> тыс. руб. (</w:t>
      </w:r>
      <w:r w:rsidR="001C1FB7">
        <w:rPr>
          <w:rFonts w:ascii="Times New Roman" w:eastAsia="Times New Roman" w:hAnsi="Times New Roman" w:cs="Times New Roman"/>
          <w:sz w:val="28"/>
          <w:szCs w:val="28"/>
        </w:rPr>
        <w:t xml:space="preserve">10,1 </w:t>
      </w:r>
      <w:r w:rsidR="004C1A12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общего объема расходов бюджета без учета расхо</w:t>
      </w:r>
      <w:r w:rsidR="00A13515">
        <w:rPr>
          <w:rFonts w:ascii="Times New Roman" w:eastAsia="Times New Roman" w:hAnsi="Times New Roman" w:cs="Times New Roman"/>
          <w:sz w:val="28"/>
          <w:szCs w:val="28"/>
        </w:rPr>
        <w:t>дов бюджета, предусмотренных за 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счет межбюджетных трансфертов из других бюджетов бюджетной системы Российской Федерации, имеющих целевое назначение);</w:t>
      </w:r>
    </w:p>
    <w:p w:rsidR="001C1FB7" w:rsidRPr="001B24EF" w:rsidRDefault="001C1FB7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F">
        <w:rPr>
          <w:rFonts w:ascii="Times New Roman" w:eastAsia="Times New Roman" w:hAnsi="Times New Roman" w:cs="Times New Roman"/>
          <w:sz w:val="28"/>
          <w:szCs w:val="28"/>
        </w:rPr>
        <w:t xml:space="preserve">- установлен предельный объем муниципального долга </w:t>
      </w:r>
      <w:r w:rsidR="00A13515" w:rsidRPr="001B24EF">
        <w:rPr>
          <w:rFonts w:ascii="Times New Roman" w:eastAsia="Times New Roman" w:hAnsi="Times New Roman" w:cs="Times New Roman"/>
          <w:sz w:val="28"/>
          <w:szCs w:val="28"/>
        </w:rPr>
        <w:t>на 2019 год в </w:t>
      </w:r>
      <w:r w:rsidRPr="001B24EF">
        <w:rPr>
          <w:rFonts w:ascii="Times New Roman" w:eastAsia="Times New Roman" w:hAnsi="Times New Roman" w:cs="Times New Roman"/>
          <w:sz w:val="28"/>
          <w:szCs w:val="28"/>
        </w:rPr>
        <w:t>сумме 87 917,7 тыс. руб</w:t>
      </w:r>
      <w:r w:rsidRPr="001B24EF">
        <w:rPr>
          <w:rFonts w:ascii="Times New Roman" w:hAnsi="Times New Roman" w:cs="Times New Roman"/>
          <w:sz w:val="28"/>
          <w:szCs w:val="28"/>
        </w:rPr>
        <w:t>., на 2020</w:t>
      </w:r>
      <w:r w:rsidRPr="001B24E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1B24EF">
        <w:rPr>
          <w:rFonts w:ascii="Times New Roman" w:hAnsi="Times New Roman" w:cs="Times New Roman"/>
          <w:sz w:val="28"/>
          <w:szCs w:val="28"/>
        </w:rPr>
        <w:t xml:space="preserve">д – 112 964,6 тыс. руб., на 2021 год – 93 698,5 </w:t>
      </w:r>
      <w:r w:rsidRPr="001B24EF">
        <w:rPr>
          <w:rFonts w:ascii="Times New Roman" w:eastAsia="Times New Roman" w:hAnsi="Times New Roman" w:cs="Times New Roman"/>
          <w:sz w:val="28"/>
          <w:szCs w:val="28"/>
        </w:rPr>
        <w:t xml:space="preserve">тыс. руб.; </w:t>
      </w:r>
    </w:p>
    <w:p w:rsidR="00B60A7F" w:rsidRPr="001B24EF" w:rsidRDefault="00807F87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1B24EF">
        <w:rPr>
          <w:rFonts w:ascii="Times New Roman" w:eastAsia="Times New Roman" w:hAnsi="Times New Roman" w:cs="Times New Roman"/>
          <w:sz w:val="28"/>
          <w:szCs w:val="28"/>
        </w:rPr>
        <w:t>определен верхний предел муниципального долга (</w:t>
      </w:r>
      <w:r w:rsidR="00B60A7F" w:rsidRPr="001B24EF">
        <w:rPr>
          <w:rFonts w:ascii="Times New Roman" w:hAnsi="Times New Roman" w:cs="Times New Roman"/>
          <w:sz w:val="28"/>
          <w:szCs w:val="28"/>
        </w:rPr>
        <w:t>на 1 января 20</w:t>
      </w:r>
      <w:r w:rsidR="001C1FB7" w:rsidRPr="001B24EF">
        <w:rPr>
          <w:rFonts w:ascii="Times New Roman" w:hAnsi="Times New Roman" w:cs="Times New Roman"/>
          <w:sz w:val="28"/>
          <w:szCs w:val="28"/>
        </w:rPr>
        <w:t>20</w:t>
      </w:r>
      <w:r w:rsidR="00B60A7F" w:rsidRPr="001B24E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F68D8" w:rsidRPr="001B24EF">
        <w:rPr>
          <w:rFonts w:ascii="Times New Roman" w:hAnsi="Times New Roman" w:cs="Times New Roman"/>
          <w:sz w:val="28"/>
          <w:szCs w:val="28"/>
        </w:rPr>
        <w:t>62 670,2</w:t>
      </w:r>
      <w:r w:rsidR="00B60A7F" w:rsidRPr="001B24EF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DF68D8" w:rsidRPr="001B24EF">
        <w:rPr>
          <w:rFonts w:ascii="Times New Roman" w:hAnsi="Times New Roman" w:cs="Times New Roman"/>
          <w:sz w:val="28"/>
          <w:szCs w:val="28"/>
        </w:rPr>
        <w:t>1</w:t>
      </w:r>
      <w:r w:rsidR="00B60A7F" w:rsidRPr="001B24E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F68D8" w:rsidRPr="001B24EF">
        <w:rPr>
          <w:rFonts w:ascii="Times New Roman" w:hAnsi="Times New Roman" w:cs="Times New Roman"/>
          <w:sz w:val="28"/>
          <w:szCs w:val="28"/>
        </w:rPr>
        <w:t>54 469,5</w:t>
      </w:r>
      <w:r w:rsidR="00515FC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15FCE">
        <w:rPr>
          <w:rFonts w:ascii="Times New Roman" w:hAnsi="Times New Roman" w:cs="Times New Roman"/>
          <w:sz w:val="28"/>
          <w:szCs w:val="28"/>
        </w:rPr>
        <w:lastRenderedPageBreak/>
        <w:t>на 1</w:t>
      </w:r>
      <w:r w:rsidR="00B60A7F" w:rsidRPr="001B24EF">
        <w:rPr>
          <w:rFonts w:ascii="Times New Roman" w:hAnsi="Times New Roman" w:cs="Times New Roman"/>
          <w:sz w:val="28"/>
          <w:szCs w:val="28"/>
        </w:rPr>
        <w:t xml:space="preserve">января 2021 года – </w:t>
      </w:r>
      <w:r w:rsidR="00DF68D8" w:rsidRPr="001B24EF">
        <w:rPr>
          <w:rFonts w:ascii="Times New Roman" w:hAnsi="Times New Roman" w:cs="Times New Roman"/>
          <w:sz w:val="28"/>
          <w:szCs w:val="28"/>
        </w:rPr>
        <w:t>46 410,8</w:t>
      </w:r>
      <w:r w:rsidR="00B60A7F" w:rsidRPr="001B24EF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и соблюдены его ограничения;</w:t>
      </w:r>
    </w:p>
    <w:p w:rsidR="00DF68D8" w:rsidRPr="0015522C" w:rsidRDefault="00807F87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F68D8" w:rsidRPr="001B24EF">
        <w:rPr>
          <w:rFonts w:ascii="Times New Roman" w:eastAsia="Times New Roman" w:hAnsi="Times New Roman" w:cs="Times New Roman"/>
          <w:sz w:val="28"/>
          <w:szCs w:val="28"/>
        </w:rPr>
        <w:t>установлен объем расходов на обслуживание муниципального долга на 2019 год в сумме 1 984,5 тыс. руб</w:t>
      </w:r>
      <w:r w:rsidR="00DF68D8" w:rsidRPr="001B24EF">
        <w:rPr>
          <w:rFonts w:ascii="Times New Roman" w:hAnsi="Times New Roman" w:cs="Times New Roman"/>
          <w:sz w:val="28"/>
          <w:szCs w:val="28"/>
        </w:rPr>
        <w:t>., на 2020</w:t>
      </w:r>
      <w:r w:rsidR="00DF68D8" w:rsidRPr="001B24E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DF68D8" w:rsidRPr="001B24EF">
        <w:rPr>
          <w:rFonts w:ascii="Times New Roman" w:hAnsi="Times New Roman" w:cs="Times New Roman"/>
          <w:sz w:val="28"/>
          <w:szCs w:val="28"/>
        </w:rPr>
        <w:t xml:space="preserve">д – 2 846,6 тыс. руб., на 2021 год – 1 741,3 </w:t>
      </w:r>
      <w:r w:rsidR="00DF68D8" w:rsidRPr="001B24EF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B60A7F" w:rsidRDefault="00807F87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определены источники фин</w:t>
      </w:r>
      <w:r w:rsidR="00A13515">
        <w:rPr>
          <w:rFonts w:ascii="Times New Roman" w:eastAsia="Times New Roman" w:hAnsi="Times New Roman" w:cs="Times New Roman"/>
          <w:sz w:val="28"/>
          <w:szCs w:val="28"/>
        </w:rPr>
        <w:t>ансирования дефицита бюджета на </w:t>
      </w:r>
      <w:r w:rsidR="00B60A7F" w:rsidRPr="0015522C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период;</w:t>
      </w:r>
    </w:p>
    <w:p w:rsidR="00DF68D8" w:rsidRDefault="00DF68D8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утвержден резервный фонд Администрации городского округа Красноуфимск 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>на 2019 год в сумме 2 065,1 тыс. руб</w:t>
      </w:r>
      <w:r w:rsidRPr="00893187">
        <w:rPr>
          <w:rFonts w:ascii="Times New Roman" w:hAnsi="Times New Roman" w:cs="Times New Roman"/>
          <w:sz w:val="28"/>
          <w:szCs w:val="28"/>
        </w:rPr>
        <w:t>., на 2020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36672">
        <w:rPr>
          <w:rFonts w:ascii="Times New Roman" w:hAnsi="Times New Roman" w:cs="Times New Roman"/>
          <w:sz w:val="28"/>
          <w:szCs w:val="28"/>
        </w:rPr>
        <w:t>д – 3 165,3 </w:t>
      </w:r>
      <w:r w:rsidRPr="00893187">
        <w:rPr>
          <w:rFonts w:ascii="Times New Roman" w:hAnsi="Times New Roman" w:cs="Times New Roman"/>
          <w:sz w:val="28"/>
          <w:szCs w:val="28"/>
        </w:rPr>
        <w:t xml:space="preserve">тыс. руб., на 2021 год – 2 251,9 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893187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036672" w:rsidRPr="00EC2C56" w:rsidRDefault="00036672" w:rsidP="00807F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6672" w:rsidRPr="001B24EF" w:rsidRDefault="00893187" w:rsidP="0080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7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Проекта соблюдены требования и ограничения, установленные БК РФ: </w:t>
      </w:r>
      <w:r w:rsidRPr="001B24EF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E730A0" w:rsidRPr="001B24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24EF">
        <w:rPr>
          <w:rFonts w:ascii="Times New Roman" w:hAnsi="Times New Roman" w:cs="Times New Roman"/>
          <w:color w:val="000000"/>
          <w:sz w:val="28"/>
          <w:szCs w:val="28"/>
        </w:rPr>
        <w:t xml:space="preserve"> ст. 92.1 – по размеру дефицита </w:t>
      </w:r>
      <w:r w:rsidR="00A13515" w:rsidRPr="001B24E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, п. </w:t>
      </w:r>
      <w:r w:rsidR="00EC2C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> ст. </w:t>
      </w:r>
      <w:r w:rsidRPr="001B24EF">
        <w:rPr>
          <w:rFonts w:ascii="Times New Roman" w:hAnsi="Times New Roman" w:cs="Times New Roman"/>
          <w:color w:val="000000"/>
          <w:sz w:val="28"/>
          <w:szCs w:val="28"/>
        </w:rPr>
        <w:t xml:space="preserve">107– по объему </w:t>
      </w:r>
      <w:r w:rsidR="00EC2C5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B24EF">
        <w:rPr>
          <w:rFonts w:ascii="Times New Roman" w:hAnsi="Times New Roman" w:cs="Times New Roman"/>
          <w:color w:val="000000"/>
          <w:sz w:val="28"/>
          <w:szCs w:val="28"/>
        </w:rPr>
        <w:t xml:space="preserve"> долга, ст. 111 – по расходам на его</w:t>
      </w:r>
      <w:r w:rsidR="00A13515" w:rsidRPr="001B24EF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обслуживание, </w:t>
      </w:r>
      <w:r w:rsidRPr="001B24EF">
        <w:rPr>
          <w:rFonts w:ascii="Times New Roman" w:hAnsi="Times New Roman" w:cs="Times New Roman"/>
          <w:color w:val="000000"/>
          <w:sz w:val="28"/>
          <w:szCs w:val="28"/>
        </w:rPr>
        <w:t>п. 3 ст. 8</w:t>
      </w:r>
      <w:r w:rsidR="00A13515" w:rsidRPr="001B24EF">
        <w:rPr>
          <w:rFonts w:ascii="Times New Roman" w:hAnsi="Times New Roman" w:cs="Times New Roman"/>
          <w:color w:val="000000"/>
          <w:sz w:val="28"/>
          <w:szCs w:val="28"/>
        </w:rPr>
        <w:t>1 – по размеру резервного фонда</w:t>
      </w:r>
      <w:r w:rsidR="000366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672">
        <w:rPr>
          <w:rFonts w:ascii="Times New Roman" w:hAnsi="Times New Roman" w:cs="Times New Roman"/>
          <w:sz w:val="28"/>
          <w:szCs w:val="28"/>
        </w:rPr>
        <w:t>п. 3 ст. 184.1 – по </w:t>
      </w:r>
      <w:r w:rsidRPr="001B24EF">
        <w:rPr>
          <w:rFonts w:ascii="Times New Roman" w:hAnsi="Times New Roman" w:cs="Times New Roman"/>
          <w:sz w:val="28"/>
          <w:szCs w:val="28"/>
        </w:rPr>
        <w:t>общему объему условно утверждаемых расходов</w:t>
      </w:r>
      <w:r w:rsidR="00EC2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672" w:rsidRPr="00EC2C56" w:rsidRDefault="00B60A7F" w:rsidP="00807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522C">
        <w:rPr>
          <w:rFonts w:ascii="Times New Roman" w:eastAsia="Times New Roman" w:hAnsi="Times New Roman" w:cs="Times New Roman"/>
          <w:sz w:val="28"/>
          <w:szCs w:val="28"/>
        </w:rPr>
        <w:t>Показатели приложений к Проекту соответствуют текстовой части Проекта.</w:t>
      </w:r>
    </w:p>
    <w:p w:rsidR="00515FCE" w:rsidRDefault="00515FCE" w:rsidP="0051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бюджета соблюден принцип 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>единства бюджетной системы Российской Федерации</w:t>
      </w:r>
      <w:r w:rsidR="001641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определенный БК 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 xml:space="preserve">РФ, группировка доходов и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применена согласно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 xml:space="preserve"> бюджетной классификацией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239" w:rsidRPr="00171239" w:rsidRDefault="00171239" w:rsidP="0017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Default="00B73C3B" w:rsidP="00171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Доходы бюджета</w:t>
      </w:r>
    </w:p>
    <w:p w:rsidR="00264FFD" w:rsidRPr="00EC2C56" w:rsidRDefault="00264FFD" w:rsidP="00171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17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городского округа Красноуфимск на 2019 год планируются в объеме 1 259 770,4 тыс. руб., что на 157 510,3 тыс. руб. или 11,1 % </w:t>
      </w:r>
      <w:r w:rsidR="0016415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ожидаемого исполнения бюджета 2018 года.</w:t>
      </w:r>
    </w:p>
    <w:p w:rsidR="00B73C3B" w:rsidRPr="00B73C3B" w:rsidRDefault="00B73C3B" w:rsidP="00807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В 2020 году также запланировано снижение доходов по отношению к уровню 2019 года на 2,2 % или 28 160,8 тыс. руб., в связи с этим общий объем поступлений составит 1 231 609,6 тыс. рублей.</w:t>
      </w:r>
    </w:p>
    <w:p w:rsidR="00B73C3B" w:rsidRPr="00B73C3B" w:rsidRDefault="00B73C3B" w:rsidP="00807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В 2021 году объем доходов увеличится на 60 780,4 тыс. руб. или 4,9 % и составит 1 292 390,0 тыс. рублей.</w:t>
      </w:r>
    </w:p>
    <w:p w:rsidR="00B73C3B" w:rsidRDefault="00B73C3B" w:rsidP="00807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Анализ структуры </w:t>
      </w:r>
      <w:r w:rsidR="00807F87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9A4D7D">
        <w:rPr>
          <w:rFonts w:ascii="Times New Roman" w:eastAsia="Times New Roman" w:hAnsi="Times New Roman" w:cs="Times New Roman"/>
          <w:sz w:val="28"/>
          <w:szCs w:val="28"/>
        </w:rPr>
        <w:t>бюджета приведен в таблице № 2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239" w:rsidRPr="00171239" w:rsidRDefault="00171239" w:rsidP="00807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9A4D7D" w:rsidP="00B73C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1983"/>
        <w:gridCol w:w="1730"/>
        <w:gridCol w:w="1730"/>
        <w:gridCol w:w="1729"/>
      </w:tblGrid>
      <w:tr w:rsidR="00B73C3B" w:rsidRPr="00171239" w:rsidTr="00B73C3B">
        <w:trPr>
          <w:trHeight w:val="491"/>
        </w:trPr>
        <w:tc>
          <w:tcPr>
            <w:tcW w:w="1253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Ожидаемое исполнение 2018 года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2019 года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2020 года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 2021 года</w:t>
            </w:r>
          </w:p>
        </w:tc>
      </w:tr>
      <w:tr w:rsidR="00B73C3B" w:rsidRPr="00171239" w:rsidTr="00B73C3B">
        <w:trPr>
          <w:trHeight w:val="130"/>
        </w:trPr>
        <w:tc>
          <w:tcPr>
            <w:tcW w:w="1253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73C3B" w:rsidRPr="00171239" w:rsidTr="00B73C3B">
        <w:trPr>
          <w:trHeight w:val="204"/>
        </w:trPr>
        <w:tc>
          <w:tcPr>
            <w:tcW w:w="1253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36,3</w:t>
            </w:r>
          </w:p>
        </w:tc>
      </w:tr>
      <w:tr w:rsidR="00B73C3B" w:rsidRPr="00171239" w:rsidTr="00B73C3B">
        <w:trPr>
          <w:trHeight w:val="264"/>
        </w:trPr>
        <w:tc>
          <w:tcPr>
            <w:tcW w:w="1253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</w:tr>
      <w:tr w:rsidR="00B73C3B" w:rsidRPr="00171239" w:rsidTr="00B73C3B">
        <w:trPr>
          <w:trHeight w:val="268"/>
        </w:trPr>
        <w:tc>
          <w:tcPr>
            <w:tcW w:w="1253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собственные доходы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39,5</w:t>
            </w:r>
          </w:p>
        </w:tc>
      </w:tr>
      <w:tr w:rsidR="00B73C3B" w:rsidRPr="00171239" w:rsidTr="00B73C3B">
        <w:trPr>
          <w:trHeight w:val="273"/>
        </w:trPr>
        <w:tc>
          <w:tcPr>
            <w:tcW w:w="1253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61,2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60,5</w:t>
            </w:r>
          </w:p>
        </w:tc>
      </w:tr>
      <w:tr w:rsidR="00B73C3B" w:rsidRPr="00171239" w:rsidTr="00B73C3B">
        <w:trPr>
          <w:trHeight w:val="136"/>
        </w:trPr>
        <w:tc>
          <w:tcPr>
            <w:tcW w:w="1253" w:type="pct"/>
            <w:shd w:val="clear" w:color="auto" w:fill="auto"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B73C3B" w:rsidRPr="00171239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712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164150" w:rsidRPr="00164150" w:rsidRDefault="00164150" w:rsidP="00B7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Основу доходной части проекта решения составляют безвозмездные поступления, на долю которых в 2019 году будет приходиться 61,2 % от общей суммы доходов, в 2020 году – 59,1 %, в 2021 году – 60,5 процентов.</w:t>
      </w:r>
    </w:p>
    <w:p w:rsidR="00B73C3B" w:rsidRPr="00B73C3B" w:rsidRDefault="00B73C3B" w:rsidP="00B7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стоит отметить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положительную тенденцию по увеличению доли собственных доходов в 2019 году по отношению к ожидаемому исполнению 2018 года.</w:t>
      </w:r>
    </w:p>
    <w:p w:rsidR="00B73C3B" w:rsidRPr="00B73C3B" w:rsidRDefault="00B73C3B" w:rsidP="00B7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Анализ бюджета в разрезе видов доходов представлен в приложении № 1. Рост (снижение) объемов доходов к ожидаемому исполнению 2018 года, в разрезе видов поступлений представлен на рисунке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-119686</wp:posOffset>
            </wp:positionH>
            <wp:positionV relativeFrom="paragraph">
              <wp:posOffset>86616</wp:posOffset>
            </wp:positionV>
            <wp:extent cx="6236339" cy="29142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50" w:rsidRDefault="00164150" w:rsidP="00B73C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C3B" w:rsidRPr="00B73C3B" w:rsidRDefault="009A4D7D" w:rsidP="00B73C3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2</w:t>
      </w:r>
      <w:r w:rsidR="00B73C3B" w:rsidRPr="00B73C3B">
        <w:rPr>
          <w:rFonts w:ascii="Times New Roman" w:eastAsia="Times New Roman" w:hAnsi="Times New Roman" w:cs="Times New Roman"/>
          <w:sz w:val="24"/>
          <w:szCs w:val="24"/>
        </w:rPr>
        <w:t>. Рост (снижение) доходов бюджета в разрезе видов поступлений.</w:t>
      </w:r>
    </w:p>
    <w:p w:rsidR="00B73C3B" w:rsidRPr="00B73C3B" w:rsidRDefault="00B73C3B" w:rsidP="00B73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Согласно представленному проекту в 2019 году планируется:</w:t>
      </w:r>
    </w:p>
    <w:p w:rsidR="00164150" w:rsidRPr="00B73C3B" w:rsidRDefault="00B73C3B" w:rsidP="00164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- уменьшение объема безвозмездных поступлений по отношению к ожидаемому исполнению 2018 года на 154 638,8 тыс. руб. или 16,7 % и составит 770 582,2 тыс. руб., что обусловлено </w:t>
      </w:r>
      <w:r w:rsidR="00164150">
        <w:rPr>
          <w:rFonts w:ascii="Times New Roman" w:eastAsia="Times New Roman" w:hAnsi="Times New Roman" w:cs="Times New Roman"/>
          <w:sz w:val="28"/>
          <w:szCs w:val="28"/>
        </w:rPr>
        <w:t>поступлением в ходе исполнения бюджета дополнительных целевых межбюджетных трансфертов из областного бюджета</w:t>
      </w:r>
      <w:r w:rsidR="00164150" w:rsidRPr="00B73C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сокращение объема налоговых доходов на 4 943,1 тыс. руб. или 1,1 % и составит 435 013,0 тыс. руб., что в большей степени обусловлено сокращением планируемых поступлений по налогу на доходы физических лиц;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- увеличение объема неналоговых доходов на 2 071,6 тыс. руб. или 4,0 % и составит 54 175,2 тыс. руб., где основным фактором, повлиявшим на рост неналоговых доходов, является увеличение доходов от продажи материальных и нематериальных активов.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В 2020 году планируется увеличение налоговых доходов по отношению к уровню 2019 года на 24 726,0 тыс. руб. или 5,7 % их объем составит 459 739,0 тыс. рублей. Неналоговые доходы уменьшатся на 10 335,2 тыс. руб. или 19,1 % и составят 43 840,0 тыс. рублей. Объем безвозмездных поступлений снизится на 42 551,6 тыс. руб. или 5,5 % и составит 728 030,6 тыс. рублей.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В 2021 году также планируется увеличение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налоговых доходов на 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8 828,0 тыс. руб. или 1,9 % их объем составит 468 567,0 тыс. рублей. Безвозмездные поступления увеличатся на 54 213,3 тыс. руб. или 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lastRenderedPageBreak/>
        <w:t>7,4 % и составят 782 243,9 тыс. рублей. Объем неналоговых доходов уменьшится на 2 260,9 тыс. руб. или 5,2 % и составит 41 579,1 тыс. рублей.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Изменения планируемых поступлений в 2020-2021 году обусловлены применением коэффициентов в соответствии с Методикой расчета налоговых и неналоговых доходов бюджета городского округа Красноуфимск на 2019 год и плановый период 2020 и 2021 годов, утвержденной постановлением администрации городского округа Красноуфимск от 06.11.2018 № 789 (далее – Методика).</w:t>
      </w:r>
    </w:p>
    <w:p w:rsidR="00B73C3B" w:rsidRPr="00EC2C56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Default="00B73C3B" w:rsidP="004F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Налоговые доходы</w:t>
      </w:r>
    </w:p>
    <w:p w:rsidR="00BC4CF7" w:rsidRPr="00BC4CF7" w:rsidRDefault="00BC4CF7" w:rsidP="004F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Общий объем налоговых доходов на 2019 год запланирован в сумме 435 013,0 тыс. рублей.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Динамика налоговых доходов в 2018 – 2021 году отражена в таблице № </w:t>
      </w:r>
      <w:r w:rsidR="009A4D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3B" w:rsidRPr="00B73C3B" w:rsidRDefault="009A4D7D" w:rsidP="00B73C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3</w:t>
      </w:r>
    </w:p>
    <w:tbl>
      <w:tblPr>
        <w:tblW w:w="5000" w:type="pct"/>
        <w:tblLook w:val="04A0"/>
      </w:tblPr>
      <w:tblGrid>
        <w:gridCol w:w="1759"/>
        <w:gridCol w:w="1009"/>
        <w:gridCol w:w="779"/>
        <w:gridCol w:w="848"/>
        <w:gridCol w:w="672"/>
        <w:gridCol w:w="863"/>
        <w:gridCol w:w="768"/>
        <w:gridCol w:w="528"/>
        <w:gridCol w:w="848"/>
        <w:gridCol w:w="894"/>
        <w:gridCol w:w="603"/>
      </w:tblGrid>
      <w:tr w:rsidR="00B73C3B" w:rsidRPr="00036672" w:rsidTr="00036672">
        <w:trPr>
          <w:trHeight w:val="724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Ожидаемое исполнение на 2018 год, тыс. рублей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Проект на 2019 год</w:t>
            </w:r>
          </w:p>
        </w:tc>
        <w:tc>
          <w:tcPr>
            <w:tcW w:w="7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Рост (снижение) к прогнозному исполнению 2018 года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Проект на 2020 год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Рост (снижение) к проекту 2019 года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Проект на 2021 год</w:t>
            </w:r>
          </w:p>
        </w:tc>
        <w:tc>
          <w:tcPr>
            <w:tcW w:w="7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Рост (снижение) к проекту 2020 года</w:t>
            </w:r>
          </w:p>
        </w:tc>
      </w:tr>
      <w:tr w:rsidR="00B73C3B" w:rsidRPr="00036672" w:rsidTr="00036672">
        <w:trPr>
          <w:trHeight w:val="264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тыс. руб.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тыс. руб.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тыс. руб.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%</w:t>
            </w:r>
          </w:p>
        </w:tc>
      </w:tr>
      <w:tr w:rsidR="00B73C3B" w:rsidRPr="00036672" w:rsidTr="00036672">
        <w:trPr>
          <w:trHeight w:val="173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B73C3B" w:rsidRPr="00036672" w:rsidTr="00036672">
        <w:trPr>
          <w:trHeight w:val="290"/>
        </w:trPr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Налоговые доходы, </w:t>
            </w:r>
            <w:r w:rsidRPr="00036672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в том числе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439956,1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435013,0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-4943,1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-1,1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459739,0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-1726,0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-1,9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468567,0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-2447,0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-0,5</w:t>
            </w:r>
          </w:p>
        </w:tc>
      </w:tr>
      <w:tr w:rsidR="00B73C3B" w:rsidRPr="00036672" w:rsidTr="00036672">
        <w:trPr>
          <w:trHeight w:val="351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349318,0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323791,0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-25527,0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350243,0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26452,0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+8,2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361518,0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11275,0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+3,2</w:t>
            </w:r>
          </w:p>
        </w:tc>
      </w:tr>
      <w:tr w:rsidR="00B73C3B" w:rsidRPr="00036672" w:rsidTr="00036672">
        <w:trPr>
          <w:trHeight w:val="1118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9037,2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20444,0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11406,8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+126,2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20444,0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20444,0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</w:t>
            </w:r>
          </w:p>
        </w:tc>
      </w:tr>
      <w:tr w:rsidR="00B73C3B" w:rsidRPr="00036672" w:rsidTr="00036672">
        <w:trPr>
          <w:trHeight w:val="271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Налог на совокупный доход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35717,0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43364,0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7647,0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+21,4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41361,0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-2003,0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39615,0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-1746,0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-4,2</w:t>
            </w:r>
          </w:p>
        </w:tc>
      </w:tr>
      <w:tr w:rsidR="00B73C3B" w:rsidRPr="00036672" w:rsidTr="00036672">
        <w:trPr>
          <w:trHeight w:val="19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Налоги на имущество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38271,0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39249,0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978,0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+2,6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39322,0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+0,2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38412,0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-910,0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-2,3</w:t>
            </w:r>
          </w:p>
        </w:tc>
      </w:tr>
      <w:tr w:rsidR="00B73C3B" w:rsidRPr="00036672" w:rsidTr="00036672">
        <w:trPr>
          <w:trHeight w:val="410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7611,8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8165,0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553,2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+7,3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8369,0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204,0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+2,5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8578,0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209,0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+2,5</w:t>
            </w:r>
          </w:p>
        </w:tc>
      </w:tr>
      <w:tr w:rsidR="00B73C3B" w:rsidRPr="00036672" w:rsidTr="00036672">
        <w:trPr>
          <w:trHeight w:val="1124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1,1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</w:t>
            </w:r>
          </w:p>
        </w:tc>
      </w:tr>
    </w:tbl>
    <w:p w:rsidR="00B73C3B" w:rsidRPr="00624046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По сравнению с ожидаемым исполнением доходов городского округа в 2018 году налоговые доходы в 2019 году уменьшатся на 1,1 % или 4 943,1 тыс. руб., на что в большей степени повлияло уменьшение поступлений по налогу на доходы физических лиц.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В плановом периоде 2020-2021 также </w:t>
      </w:r>
      <w:r w:rsidR="0016415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снижение объема налоговых доходов: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в 2020 по отнош</w:t>
      </w:r>
      <w:r w:rsidR="00164150">
        <w:rPr>
          <w:rFonts w:ascii="Times New Roman" w:eastAsia="Times New Roman" w:hAnsi="Times New Roman" w:cs="Times New Roman"/>
          <w:sz w:val="28"/>
          <w:szCs w:val="28"/>
        </w:rPr>
        <w:t>ению к 2019 году на 1,9 % или 1 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726,0 тыс. руб., в основном за счет снижения поступлений по налогу на совокупный доход;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в 2021 по отнош</w:t>
      </w:r>
      <w:r w:rsidR="00164150">
        <w:rPr>
          <w:rFonts w:ascii="Times New Roman" w:eastAsia="Times New Roman" w:hAnsi="Times New Roman" w:cs="Times New Roman"/>
          <w:sz w:val="28"/>
          <w:szCs w:val="28"/>
        </w:rPr>
        <w:t>ению к 2020 году на 0,5 % или 2 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447,0 тыс. руб., за счет уменьшения поступлений по налогу на совокупный доход и налогу на имущество.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Динамика структуры налоговых доходов отражена в таблице № </w:t>
      </w:r>
      <w:r w:rsidR="009A4D7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3B" w:rsidRPr="004C1A12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9A4D7D" w:rsidP="00B73C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949"/>
        <w:gridCol w:w="1702"/>
        <w:gridCol w:w="1702"/>
        <w:gridCol w:w="1702"/>
      </w:tblGrid>
      <w:tr w:rsidR="00B73C3B" w:rsidRPr="00B73C3B" w:rsidTr="00B73C3B">
        <w:trPr>
          <w:trHeight w:val="780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 на 2018 год,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Проект на 2019 год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Проект на 2020 год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Проект на 2021 год</w:t>
            </w:r>
          </w:p>
        </w:tc>
      </w:tr>
      <w:tr w:rsidR="00B73C3B" w:rsidRPr="00B73C3B" w:rsidTr="00B73C3B">
        <w:trPr>
          <w:trHeight w:val="173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3C3B" w:rsidRPr="00B73C3B" w:rsidTr="00B73C3B">
        <w:trPr>
          <w:trHeight w:val="570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Налоговые доходы, </w:t>
            </w:r>
            <w:r w:rsidRPr="00B73C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 том числе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B73C3B" w:rsidRPr="00B73C3B" w:rsidTr="00B73C3B">
        <w:trPr>
          <w:trHeight w:val="497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</w:tr>
      <w:tr w:rsidR="00B73C3B" w:rsidRPr="00B73C3B" w:rsidTr="00B73C3B">
        <w:trPr>
          <w:trHeight w:val="987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B73C3B" w:rsidRPr="00B73C3B" w:rsidTr="00B73C3B">
        <w:trPr>
          <w:trHeight w:val="535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B73C3B" w:rsidRPr="00B73C3B" w:rsidTr="00B73C3B">
        <w:trPr>
          <w:trHeight w:val="260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B73C3B" w:rsidRPr="00B73C3B" w:rsidTr="00B73C3B">
        <w:trPr>
          <w:trHeight w:val="277"/>
        </w:trPr>
        <w:tc>
          <w:tcPr>
            <w:tcW w:w="1314" w:type="pct"/>
            <w:shd w:val="clear" w:color="auto" w:fill="auto"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B73C3B" w:rsidRPr="00B73C3B" w:rsidRDefault="00B73C3B" w:rsidP="00B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3C3B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</w:tr>
    </w:tbl>
    <w:p w:rsidR="00B73C3B" w:rsidRPr="004C1A12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Анализ структуры налоговых доходов на 2019 год показал, что по сравнению с 2018 годом, удельный вес налоговых поступлений по налогу на доходы физических лиц уменьшается на 5,0 %, по всем остальным налогам наблюдается увеличение доли в общей структуре доходов: по акцизам по подакцизным товарам на 2,6 %, по налогу на совокупный доход на 1,9 %, по налогу на имущество на 0,3 %, по государственной пошлине на 0,2 процента.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Согласно проекту решения на 2019 год запланированы поступления следующих налоговых доходов.</w:t>
      </w:r>
    </w:p>
    <w:p w:rsidR="00B73C3B" w:rsidRPr="00511C0E" w:rsidRDefault="00B73C3B" w:rsidP="00511C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C0E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</w:t>
      </w:r>
      <w:r w:rsidR="00511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поступление налога на доходы физических лиц планируется на 2019 год в размере 323 791,0 </w:t>
      </w:r>
      <w:r w:rsidR="00AD6B0B">
        <w:rPr>
          <w:rFonts w:ascii="Times New Roman" w:eastAsia="Times New Roman" w:hAnsi="Times New Roman" w:cs="Times New Roman"/>
          <w:sz w:val="28"/>
          <w:szCs w:val="28"/>
        </w:rPr>
        <w:t>тыс. руб., что на 25 527,0 тыс. 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руб. или 7,3 %,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ниже ожидаемого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исполнения на 2018 год.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Норматив отчисления в бюджет городского округа Красноуфимск в 2017 году составлял – 59 %.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В 2018 году решением Думы городского округа Красноуфимск от 30.08.2018 № 31/4 принято решение о частичной замене дотации на выравнивание бюджетной обеспеченности дополнительным нормативом отчислений от налога на доходы физических лиц.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Таким образом, норматив отчисления в бюджет городского округа рассчитан 64 % в 2018 году, 57 % в 2019 году, 59 % в 2020 году и 58 % в 2021 году.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Расчет налога на доходы физических лиц на 2019 год производился исходя из ожидаемых поступлений в бюджет Свердловской области в текущем финансовом году с учетом прогнозируемого коэффициента роста поступлений 1,04, коэффициента, учитывающего изменения налогового законодательства 1,0, а также норматива отчисления в бюджет городского округа на 2019 год 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57 процентов.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налога на доходы физических лиц на 2020 год составил 350 243,0 тыс. руб., на 2021 год – 361 518,0 тыс. рублей.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lastRenderedPageBreak/>
        <w:t>На 2020 – 2021 год прогноз поступлений рассчитан с учетом коэффициента роста поступлений 1,045 и 1,05 соответственно и нормативов отчислений в 2020 году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59 %, в 2021 году 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 xml:space="preserve">– 58 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процентов.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Кроме того, прогноз поступлений по налогу на доходы физических лиц с доходов иностранных граждан произведен: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в 2019 году на основании ожидаемых поступлений налога в бюджет Свердловской области в текущем году с учетом прогнозируемого коэффициента роста поступлений 1,04 и норматива отчислений в 2019 году -42 %;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на 2020 – 2021 год прогноз поступлений рассчитан с учетом коэффициента роста поступлений 1,045 и 1,05 соответственно и нормативов отчислений в 2020 году 44 %, в 2021 году 43 процента.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9A4D7D" w:rsidRDefault="00371205" w:rsidP="0037120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B73C3B" w:rsidRPr="009A4D7D">
        <w:rPr>
          <w:rFonts w:ascii="Times New Roman" w:eastAsia="Times New Roman" w:hAnsi="Times New Roman" w:cs="Times New Roman"/>
          <w:sz w:val="28"/>
          <w:szCs w:val="28"/>
        </w:rPr>
        <w:t>Акцизы по подакцизным товарам (пр</w:t>
      </w:r>
      <w:r w:rsidR="004C1A12">
        <w:rPr>
          <w:rFonts w:ascii="Times New Roman" w:eastAsia="Times New Roman" w:hAnsi="Times New Roman" w:cs="Times New Roman"/>
          <w:sz w:val="28"/>
          <w:szCs w:val="28"/>
        </w:rPr>
        <w:t>одукции), производимым на </w:t>
      </w:r>
      <w:r w:rsidR="00B73C3B" w:rsidRPr="009A4D7D">
        <w:rPr>
          <w:rFonts w:ascii="Times New Roman" w:eastAsia="Times New Roman" w:hAnsi="Times New Roman" w:cs="Times New Roman"/>
          <w:sz w:val="28"/>
          <w:szCs w:val="28"/>
        </w:rPr>
        <w:t>территории Российской Федерации (нефтепродукты)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3C3B" w:rsidRPr="009A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Поступление доходов от акцизов на нефтепродукты запланировано на 2019 год в объеме 20 444,0 тыс. руб., что на 11 496,7 тыс. руб. или 128,5 % 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ожидаемого исполнения в 2018 году по данному виду поступлений, за счет: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1) увеличения норматива отчислений в местные бюджеты на основании проекта Закона Свердловской области «Об областном бюджете на 2019 год и плановый период 2020 и 2021 годов» (далее – Проект закона об областном бюджете на 2019-2021 год) с 0,08513 % до 0,16670 %;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2) изменения ставок на акцизы по подакцизным товарам на основании статьи 1 Федерального закона от 03.08.2018 № 301-ФЗ «О внесении изменений в часть вторую Налогового кодекса РФ».</w:t>
      </w:r>
    </w:p>
    <w:p w:rsidR="00036672" w:rsidRPr="004C1A12" w:rsidRDefault="00036672" w:rsidP="00B73C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9A4D7D" w:rsidP="00B73C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5</w:t>
      </w:r>
      <w:r w:rsidR="00B73C3B" w:rsidRPr="00B73C3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1598"/>
        <w:gridCol w:w="1026"/>
        <w:gridCol w:w="936"/>
        <w:gridCol w:w="846"/>
        <w:gridCol w:w="531"/>
        <w:gridCol w:w="936"/>
        <w:gridCol w:w="711"/>
        <w:gridCol w:w="441"/>
        <w:gridCol w:w="936"/>
        <w:gridCol w:w="711"/>
        <w:gridCol w:w="899"/>
      </w:tblGrid>
      <w:tr w:rsidR="00B73C3B" w:rsidRPr="00B94A01" w:rsidTr="00B73C3B">
        <w:tc>
          <w:tcPr>
            <w:tcW w:w="835" w:type="pct"/>
            <w:vMerge w:val="restart"/>
            <w:vAlign w:val="center"/>
          </w:tcPr>
          <w:p w:rsidR="00B73C3B" w:rsidRPr="00B94A01" w:rsidRDefault="00B73C3B" w:rsidP="00B73C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подакцизных товаров</w:t>
            </w:r>
          </w:p>
        </w:tc>
        <w:tc>
          <w:tcPr>
            <w:tcW w:w="4165" w:type="pct"/>
            <w:gridSpan w:val="10"/>
          </w:tcPr>
          <w:p w:rsidR="00B73C3B" w:rsidRPr="00B94A01" w:rsidRDefault="00B73C3B" w:rsidP="00B73C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Ставка акциза на одну тонну подакцизного товара, руб.</w:t>
            </w:r>
          </w:p>
        </w:tc>
      </w:tr>
      <w:tr w:rsidR="00B73C3B" w:rsidRPr="00B94A01" w:rsidTr="00B73C3B">
        <w:trPr>
          <w:trHeight w:val="497"/>
        </w:trPr>
        <w:tc>
          <w:tcPr>
            <w:tcW w:w="835" w:type="pct"/>
            <w:vMerge/>
            <w:vAlign w:val="center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6" w:type="pct"/>
            <w:vMerge w:val="restart"/>
            <w:vAlign w:val="center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31.12.2018 года</w:t>
            </w:r>
          </w:p>
        </w:tc>
        <w:tc>
          <w:tcPr>
            <w:tcW w:w="489" w:type="pct"/>
            <w:vMerge w:val="restart"/>
            <w:vAlign w:val="center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19" w:type="pct"/>
            <w:gridSpan w:val="2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Темп роста (снижения)</w:t>
            </w:r>
          </w:p>
        </w:tc>
        <w:tc>
          <w:tcPr>
            <w:tcW w:w="489" w:type="pct"/>
            <w:vMerge w:val="restart"/>
            <w:vAlign w:val="center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602" w:type="pct"/>
            <w:gridSpan w:val="2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Темп роста (снижения)</w:t>
            </w:r>
          </w:p>
        </w:tc>
        <w:tc>
          <w:tcPr>
            <w:tcW w:w="489" w:type="pct"/>
            <w:vMerge w:val="restart"/>
            <w:vAlign w:val="center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41" w:type="pct"/>
            <w:gridSpan w:val="2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Темп роста (снижения)</w:t>
            </w:r>
          </w:p>
        </w:tc>
      </w:tr>
      <w:tr w:rsidR="00B73C3B" w:rsidRPr="00B94A01" w:rsidTr="00B73C3B">
        <w:tc>
          <w:tcPr>
            <w:tcW w:w="835" w:type="pct"/>
            <w:vMerge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77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89" w:type="pct"/>
            <w:vMerge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3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489" w:type="pct"/>
            <w:vMerge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47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B73C3B" w:rsidRPr="00B94A01" w:rsidTr="00B73C3B">
        <w:tc>
          <w:tcPr>
            <w:tcW w:w="835" w:type="pct"/>
          </w:tcPr>
          <w:p w:rsidR="00B73C3B" w:rsidRPr="00B94A01" w:rsidRDefault="00B73C3B" w:rsidP="00B94A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Автомобильный бензин класса 5</w:t>
            </w:r>
          </w:p>
        </w:tc>
        <w:tc>
          <w:tcPr>
            <w:tcW w:w="536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13 100,00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13 100,00</w:t>
            </w:r>
          </w:p>
        </w:tc>
        <w:tc>
          <w:tcPr>
            <w:tcW w:w="442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77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13 100,00</w:t>
            </w: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3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13 624,00</w:t>
            </w: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524,00</w:t>
            </w:r>
          </w:p>
        </w:tc>
        <w:tc>
          <w:tcPr>
            <w:tcW w:w="47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B73C3B" w:rsidRPr="00B94A01" w:rsidTr="00B73C3B">
        <w:tc>
          <w:tcPr>
            <w:tcW w:w="835" w:type="pct"/>
          </w:tcPr>
          <w:p w:rsidR="00B73C3B" w:rsidRPr="00B94A01" w:rsidRDefault="00B73C3B" w:rsidP="00B94A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Автомобильный бензин не соответствующий классу 5</w:t>
            </w:r>
          </w:p>
        </w:tc>
        <w:tc>
          <w:tcPr>
            <w:tcW w:w="536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8 213,00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12 314,00</w:t>
            </w:r>
          </w:p>
        </w:tc>
        <w:tc>
          <w:tcPr>
            <w:tcW w:w="442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4 101,00</w:t>
            </w:r>
          </w:p>
        </w:tc>
        <w:tc>
          <w:tcPr>
            <w:tcW w:w="277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49,9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12 752,00</w:t>
            </w: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438,00</w:t>
            </w:r>
          </w:p>
        </w:tc>
        <w:tc>
          <w:tcPr>
            <w:tcW w:w="23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13 262,00</w:t>
            </w: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510,00</w:t>
            </w:r>
          </w:p>
        </w:tc>
        <w:tc>
          <w:tcPr>
            <w:tcW w:w="47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B73C3B" w:rsidRPr="00B94A01" w:rsidTr="00B73C3B">
        <w:tc>
          <w:tcPr>
            <w:tcW w:w="835" w:type="pct"/>
          </w:tcPr>
          <w:p w:rsidR="00B73C3B" w:rsidRPr="00B94A01" w:rsidRDefault="00B73C3B" w:rsidP="00B94A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Дизельное топливо</w:t>
            </w:r>
          </w:p>
        </w:tc>
        <w:tc>
          <w:tcPr>
            <w:tcW w:w="536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5 665,00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8 541,00</w:t>
            </w:r>
          </w:p>
        </w:tc>
        <w:tc>
          <w:tcPr>
            <w:tcW w:w="442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2 876,00</w:t>
            </w:r>
          </w:p>
        </w:tc>
        <w:tc>
          <w:tcPr>
            <w:tcW w:w="277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50,8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8 835,00</w:t>
            </w: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321,0</w:t>
            </w:r>
          </w:p>
        </w:tc>
        <w:tc>
          <w:tcPr>
            <w:tcW w:w="23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89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sz w:val="18"/>
                <w:szCs w:val="18"/>
              </w:rPr>
              <w:t>9 188,00</w:t>
            </w:r>
          </w:p>
        </w:tc>
        <w:tc>
          <w:tcPr>
            <w:tcW w:w="371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353,00</w:t>
            </w:r>
          </w:p>
        </w:tc>
        <w:tc>
          <w:tcPr>
            <w:tcW w:w="470" w:type="pct"/>
          </w:tcPr>
          <w:p w:rsidR="00B73C3B" w:rsidRPr="00B94A01" w:rsidRDefault="00B73C3B" w:rsidP="00B94A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</w:tbl>
    <w:p w:rsidR="004C1A12" w:rsidRPr="004C1A12" w:rsidRDefault="004C1A12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Увеличение ставок акцизов по подакцизным товарам запланировано на 2019 год по отношению к 2018 году приблизительно на 50 %, в плановом периоде 2020 – 2021 года в среднем на 4 процента.</w:t>
      </w:r>
    </w:p>
    <w:p w:rsidR="00B73C3B" w:rsidRPr="00B73C3B" w:rsidRDefault="00892E15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Проекту З</w:t>
      </w:r>
      <w:r w:rsidR="00B73C3B" w:rsidRPr="00B73C3B">
        <w:rPr>
          <w:rFonts w:ascii="Times New Roman" w:eastAsia="Times New Roman" w:hAnsi="Times New Roman" w:cs="Times New Roman"/>
          <w:sz w:val="28"/>
          <w:szCs w:val="28"/>
        </w:rPr>
        <w:t>акона об областном бюджете на 2019-2021 год прогноз поступлений на 2020-2021 год рассчитан на уровне 2019 года и составляет 20 444,0 тыс. рублей.</w:t>
      </w:r>
    </w:p>
    <w:p w:rsid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4CF7" w:rsidRDefault="00BC4CF7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4CF7" w:rsidRDefault="00BC4CF7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4CF7" w:rsidRPr="00F47B29" w:rsidRDefault="00BC4CF7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9A4D7D" w:rsidRDefault="00FB0AFE" w:rsidP="00FB0AF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B73C3B" w:rsidRPr="009A4D7D">
        <w:rPr>
          <w:rFonts w:ascii="Times New Roman" w:eastAsia="Times New Roman" w:hAnsi="Times New Roman" w:cs="Times New Roman"/>
          <w:sz w:val="28"/>
          <w:szCs w:val="28"/>
        </w:rPr>
        <w:t>Налоги на совокупный доход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Динамика налогов на совокупный доход в разрезе подвидов</w:t>
      </w:r>
      <w:r w:rsidR="009A4D7D">
        <w:rPr>
          <w:rFonts w:ascii="Times New Roman" w:eastAsia="Times New Roman" w:hAnsi="Times New Roman" w:cs="Times New Roman"/>
          <w:sz w:val="28"/>
          <w:szCs w:val="28"/>
        </w:rPr>
        <w:t xml:space="preserve"> налогов приведена в таблице № 6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3B" w:rsidRPr="004C1A12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94A01" w:rsidRDefault="009A4D7D" w:rsidP="00B94A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6</w:t>
      </w:r>
    </w:p>
    <w:tbl>
      <w:tblPr>
        <w:tblW w:w="5000" w:type="pct"/>
        <w:tblLayout w:type="fixed"/>
        <w:tblLook w:val="04A0"/>
      </w:tblPr>
      <w:tblGrid>
        <w:gridCol w:w="1668"/>
        <w:gridCol w:w="1134"/>
        <w:gridCol w:w="850"/>
        <w:gridCol w:w="708"/>
        <w:gridCol w:w="708"/>
        <w:gridCol w:w="850"/>
        <w:gridCol w:w="852"/>
        <w:gridCol w:w="567"/>
        <w:gridCol w:w="852"/>
        <w:gridCol w:w="794"/>
        <w:gridCol w:w="588"/>
      </w:tblGrid>
      <w:tr w:rsidR="00B73C3B" w:rsidRPr="00B94A01" w:rsidTr="00B94A01">
        <w:trPr>
          <w:trHeight w:val="66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налога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Ожидаемое исполнение на 2018 год, тыс.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 на 2019 год, тыс. руб.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Рост (снижение) 2019 года к 2018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 на 2020 год, тыс. руб.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Рост (снижение) 2020 года к 2019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 на 2021 год, тыс. руб.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Рост (снижение) 2021 года к 2020</w:t>
            </w:r>
          </w:p>
        </w:tc>
      </w:tr>
      <w:tr w:rsidR="00B73C3B" w:rsidRPr="00B94A01" w:rsidTr="00B94A01">
        <w:trPr>
          <w:trHeight w:val="354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B73C3B" w:rsidRPr="00B94A01" w:rsidTr="00B94A01">
        <w:trPr>
          <w:trHeight w:val="9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3B" w:rsidRPr="00B94A01" w:rsidRDefault="00B73C3B" w:rsidP="00B9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6 633,0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14 288,0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7 655,0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14 645,0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15 011,0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</w:tr>
      <w:tr w:rsidR="00B73C3B" w:rsidRPr="00B94A01" w:rsidTr="00B94A01">
        <w:trPr>
          <w:trHeight w:val="6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3B" w:rsidRPr="00B94A01" w:rsidRDefault="00B73C3B" w:rsidP="00B9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25 051,0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24 576,0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-475,0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22 118,0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-2 458,0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19 906,0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-2 212,0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-10,0</w:t>
            </w:r>
          </w:p>
        </w:tc>
      </w:tr>
      <w:tr w:rsidR="00B73C3B" w:rsidRPr="00B94A01" w:rsidTr="00B94A01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3B" w:rsidRPr="00B94A01" w:rsidRDefault="00B73C3B" w:rsidP="00B9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575,0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582,0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582,0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582,0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73C3B" w:rsidRPr="00B94A01" w:rsidTr="00B94A01">
        <w:trPr>
          <w:trHeight w:val="75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3B" w:rsidRPr="00B94A01" w:rsidRDefault="00B73C3B" w:rsidP="00B9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3 458,0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3 918,0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4 016,0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sz w:val="16"/>
                <w:szCs w:val="16"/>
              </w:rPr>
              <w:t>4 116,0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</w:tr>
      <w:tr w:rsidR="00B73C3B" w:rsidRPr="00B94A01" w:rsidTr="00B94A01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3B" w:rsidRPr="00B94A01" w:rsidRDefault="00B73C3B" w:rsidP="00B9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налоги на совокупный доход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35 717,0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43 364,0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7 647,0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41 361,0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-2 003,0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39 615,0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-1 746,0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B94A01" w:rsidRDefault="00B73C3B" w:rsidP="00B9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A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-4,2</w:t>
            </w:r>
          </w:p>
        </w:tc>
      </w:tr>
    </w:tbl>
    <w:p w:rsidR="00B73C3B" w:rsidRPr="004C1A12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В 2019 году на основании Закона Свердловской области от 14.11.2018 № 131-ОЗ «О внесении изменений в Закон Свердловской области «Об 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налога, взимаемого в связи с применением упрощенной системы налогообложения, подлежащих зачислению в областной бюджет» увеличен норматив отчислений в местный бюджет </w:t>
      </w:r>
      <w:r w:rsidRPr="00B73C3B">
        <w:rPr>
          <w:rFonts w:ascii="Times New Roman" w:eastAsia="Times New Roman" w:hAnsi="Times New Roman" w:cs="Times New Roman"/>
          <w:i/>
          <w:sz w:val="28"/>
          <w:szCs w:val="28"/>
        </w:rPr>
        <w:t>налога взимаемого в связи с применением упрощенной системы налогообложения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с 15 % до 30 %, в связи с этим, объём поступлений налога взимаемого в связи с применением упрощенной системы налогообложения в 2019 году составит 14 288,0 тыс. рублей. Прогноз поступлений на 2020-2021 год рассчитан с применением коэффициента 1,025 к плану 2019 года и составил 14 645,0 тыс. руб. и 15 011,0 тыс. руб. соответственно.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по </w:t>
      </w:r>
      <w:r w:rsidRPr="00B73C3B">
        <w:rPr>
          <w:rFonts w:ascii="Times New Roman" w:eastAsia="Times New Roman" w:hAnsi="Times New Roman" w:cs="Times New Roman"/>
          <w:i/>
          <w:sz w:val="28"/>
          <w:szCs w:val="28"/>
        </w:rPr>
        <w:t>Единому налогу на вмененный доход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 xml:space="preserve"> в 2019 году сократя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тся на 475,0 тыс. руб. или 1,9 % и состав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т 24 576,0 тыс. рублей. Сокращение планируемых поступлений связано с уменьшением количества налогоплательщиков применяемых Единый налог на вмененный доход в 2018 году с 1303 до 1188 юридических лиц.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на 2020-2021 год рассчитан с применением коэффициента 0,9 к плану 2019 года и составил 22 118,0 тыс. руб. и 19 906,0 тыс. руб. соответственно. </w:t>
      </w:r>
    </w:p>
    <w:p w:rsidR="00B73C3B" w:rsidRPr="00BC4CF7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Планируемый объем поступлений по </w:t>
      </w:r>
      <w:r w:rsidRPr="00B73C3B">
        <w:rPr>
          <w:rFonts w:ascii="Times New Roman" w:eastAsia="Times New Roman" w:hAnsi="Times New Roman" w:cs="Times New Roman"/>
          <w:i/>
          <w:sz w:val="28"/>
          <w:szCs w:val="28"/>
        </w:rPr>
        <w:t>единому сельскохозяйственному налогу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в 2019 году по отношению к ожидаемому исполнению 2018 года увелич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на 7,0 тыс. руб. или 1,2 % и составит 582,0 тыс. рублей. Расчет произведен Управлением федеральной налоговой службы по Свердловской 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области. Прогноз поступлений на 2020-2021 год запланирован на уровне 2019 года.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по </w:t>
      </w:r>
      <w:r w:rsidRPr="00B73C3B">
        <w:rPr>
          <w:rFonts w:ascii="Times New Roman" w:eastAsia="Times New Roman" w:hAnsi="Times New Roman" w:cs="Times New Roman"/>
          <w:i/>
          <w:sz w:val="28"/>
          <w:szCs w:val="28"/>
        </w:rPr>
        <w:t>налогу, взимаемому в связи с применением патентной системы налогообложения,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в 2019 году увеличен по отношению к ожидаемому исполнению 2018 года на 460,0 тыс. руб. или 13,3 % и составил 3 918,0 тыс. рублей. Увеличение плана по указанному налогу обусловлено ежегодным ростом количества выданных патентов. Прогноз поступлений на 2020-2021 год рассчитан с применением коэффициента 1,025 к плану 2019 года и составил 4 016,0 тыс. руб. и 4 116,0 тыс. руб. соответственно.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4F2BF8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73C3B" w:rsidRPr="00B73C3B">
        <w:rPr>
          <w:rFonts w:ascii="Times New Roman" w:eastAsia="Times New Roman" w:hAnsi="Times New Roman" w:cs="Times New Roman"/>
          <w:sz w:val="28"/>
          <w:szCs w:val="28"/>
        </w:rPr>
        <w:t>. Налоги на имущество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по налогу на имущество в 2019 году рассчитан Управлением федеральной налоговой службы по Свердловской области и составил 18 130,0 тыс. руб., что на 2 168,0 тыс. руб. или 13,6 %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выше ожидаемого исполнения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2018 года, что связано с увеличением инвентаризационной оценки имущества.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на 2020-2021 год рассчитан с применением коэффициентов 1,004 и 0,95 соответственно и составит в 2020 году 18 203,0 тыс. руб. в 2021 году 17 293,0 тыс. рублей.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по земельному налогу в 2019 году уменьшен по отношению к прогнозу 2018 года на 1 190,0 тыс. руб. или 5,3 %, на основании изменений вносимых Федеральным законом от 28.12.2017 № 436-ФЗ «О внесении изменений в части первую и вторую Налогового кодекса Российской Федерации и отдельные законодательные акты Российской Федерации», в части уменьшения налоговой базы на величину кадастровой стоимости 600 кв.м. площади земельного участка пенсионерам, получающим пенсии, а также лицам, достигшим возраста 60 и 55 лет (соответственно мужчины и женщины), которым выплачивается ежемесячное пожизненное содержание, а также физическим лицам, соответствующим условиям, необходимым для назначения пенсии в соответствии с законодательством РФ, действовавшим на 31.12.2018 года.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на 2020-2021 год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на уровне 2019 года – 21 119,0 тыс. рублей.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4F2BF8" w:rsidRDefault="004F2BF8" w:rsidP="004F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BF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73C3B" w:rsidRPr="004F2BF8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государственной пошлины в 2019 году планируется на 553,2 тыс. руб. или 7,3 %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ожидаемого исполнения 2018 года, и составит 8 165,0 тыс. рублей. Расчет произведен на основании фактических поступлений по состоянию 01.07.2018, с применением коэффициентов в соответствии с Методикой.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на 2020-2021 год рассчитан с применением коэффициента 1,025 к плану 2019 года и составил 8 369,0 тыс. руб. и 8 578,0 тыс. руб. соответственно.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4F2B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lastRenderedPageBreak/>
        <w:t>Неналоговые доходы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Общий объем неналоговых доходов на 2019 год запланирован в сумме 54 175,2 тыс. рублей.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Динамика неналоговых доходов в 2018 – </w:t>
      </w:r>
      <w:r w:rsidR="009A4D7D">
        <w:rPr>
          <w:rFonts w:ascii="Times New Roman" w:eastAsia="Times New Roman" w:hAnsi="Times New Roman" w:cs="Times New Roman"/>
          <w:sz w:val="28"/>
          <w:szCs w:val="28"/>
        </w:rPr>
        <w:t>2021 году отражена в таблице № 7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3B" w:rsidRPr="00324367" w:rsidRDefault="009A4D7D" w:rsidP="003243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7</w:t>
      </w:r>
    </w:p>
    <w:tbl>
      <w:tblPr>
        <w:tblW w:w="5000" w:type="pct"/>
        <w:tblLayout w:type="fixed"/>
        <w:tblLook w:val="04A0"/>
      </w:tblPr>
      <w:tblGrid>
        <w:gridCol w:w="2192"/>
        <w:gridCol w:w="894"/>
        <w:gridCol w:w="852"/>
        <w:gridCol w:w="835"/>
        <w:gridCol w:w="576"/>
        <w:gridCol w:w="775"/>
        <w:gridCol w:w="831"/>
        <w:gridCol w:w="549"/>
        <w:gridCol w:w="775"/>
        <w:gridCol w:w="750"/>
        <w:gridCol w:w="542"/>
      </w:tblGrid>
      <w:tr w:rsidR="00B73C3B" w:rsidRPr="00036672" w:rsidTr="00036672">
        <w:trPr>
          <w:trHeight w:val="607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Прогноз исполнения на 2018 год, тыс. руб.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 на 2019 год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Рост (снижение) к прогнозному исполнению 2018 года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 на 2020 год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Рост (снижение) к плану 2019 года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 на 2021 год</w:t>
            </w:r>
          </w:p>
        </w:tc>
        <w:tc>
          <w:tcPr>
            <w:tcW w:w="6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Рост (снижение) к плану 2020 года</w:t>
            </w:r>
          </w:p>
        </w:tc>
      </w:tr>
      <w:tr w:rsidR="00036672" w:rsidRPr="00036672" w:rsidTr="00036672">
        <w:trPr>
          <w:trHeight w:val="244"/>
        </w:trPr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 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 руб.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тыс. руб.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B73C3B" w:rsidRPr="00036672" w:rsidTr="00036672">
        <w:trPr>
          <w:trHeight w:val="133"/>
        </w:trPr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36672" w:rsidRPr="00036672" w:rsidTr="00036672">
        <w:trPr>
          <w:trHeight w:val="297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Неналоговые доходы, </w:t>
            </w:r>
            <w:r w:rsidRPr="0003667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52 103,6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54 175,20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2 071,60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43 840,0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-10 335,2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-19,1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41 579,1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-2 260,9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-5,2</w:t>
            </w:r>
          </w:p>
        </w:tc>
      </w:tr>
      <w:tr w:rsidR="00B73C3B" w:rsidRPr="00036672" w:rsidTr="00036672">
        <w:trPr>
          <w:trHeight w:val="9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33 654,6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31 781,00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-1 873,60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-5,6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32 119,0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32 166,0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0,1</w:t>
            </w:r>
          </w:p>
        </w:tc>
      </w:tr>
      <w:tr w:rsidR="00B73C3B" w:rsidRPr="00036672" w:rsidTr="00036672">
        <w:trPr>
          <w:trHeight w:val="6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266,0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277,00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277,0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277,0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B73C3B" w:rsidRPr="00036672" w:rsidTr="00036672">
        <w:trPr>
          <w:trHeight w:val="9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178,3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148,70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-29,60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-16,6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148,9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-1,4</w:t>
            </w:r>
          </w:p>
        </w:tc>
      </w:tr>
      <w:tr w:rsidR="00B73C3B" w:rsidRPr="00036672" w:rsidTr="00036672">
        <w:trPr>
          <w:trHeight w:val="6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7 774,0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16 289,80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8 515,80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5 607,3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-10 682,5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-65,6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3 364,2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-2 243,1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-40,0</w:t>
            </w:r>
          </w:p>
        </w:tc>
      </w:tr>
      <w:tr w:rsidR="00B73C3B" w:rsidRPr="00036672" w:rsidTr="00036672">
        <w:trPr>
          <w:trHeight w:val="3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10 230,7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5 678,70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-4 552,00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-44,5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5 687,8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5 625,1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-62,7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-1,1</w:t>
            </w:r>
          </w:p>
        </w:tc>
      </w:tr>
      <w:tr w:rsidR="00B73C3B" w:rsidRPr="00036672" w:rsidTr="00036672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036672" w:rsidRDefault="00B73C3B" w:rsidP="003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3667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</w:tbl>
    <w:p w:rsidR="00597486" w:rsidRPr="001E617F" w:rsidRDefault="00597486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По сравнению с ожидаемым исполнением доходов 2018 года неналоговые доходы в 2019 год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возрастут на 2 071,60 тыс. руб. или 4,0 %, что в большей степени </w:t>
      </w:r>
      <w:r w:rsidR="00892E15" w:rsidRPr="00892E15">
        <w:rPr>
          <w:rFonts w:ascii="Times New Roman" w:eastAsia="Times New Roman" w:hAnsi="Times New Roman" w:cs="Times New Roman"/>
          <w:sz w:val="28"/>
          <w:szCs w:val="28"/>
        </w:rPr>
        <w:t xml:space="preserve">связано 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с увеличением доходов от продажи материальных и нематериальных активов.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В 2020-2021 году планируется снижение объемов поступлений неналоговых доходов: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в 2020 году по отношению к 2019 году на 10 335,2 тыс. руб. или 19,1 % в основном за счет уменьшения доходов от продажи материальных и нематериальных активов;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в 2021 по отношению к 2020 году на 2 260,9 тыс. руб. или 5,2 %, также за счет сокращения доходов от продажи имущества.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Согласно проекту решения на 2019 год запланированы поступления следующих неналоговых доходов.</w:t>
      </w:r>
    </w:p>
    <w:p w:rsidR="00B73C3B" w:rsidRPr="00597486" w:rsidRDefault="00597486" w:rsidP="0059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86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C3B" w:rsidRPr="00597486">
        <w:rPr>
          <w:rFonts w:ascii="Times New Roman" w:eastAsia="Times New Roman" w:hAnsi="Times New Roman" w:cs="Times New Roman"/>
          <w:sz w:val="28"/>
          <w:szCs w:val="28"/>
        </w:rPr>
        <w:t>Доходы от использования имущества, находящегося в государственной и муниципальной собственности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доходов от использования имущества, находящегося в государственной и муниципальной собственности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на 2019 год составлен в объеме 31 781,00 тыс. руб. (доходы, получаемые в виде арендной либо иной платы за передачу в возмездное пользование государственного и муниципального имущества), что на 1 873,6 тыс. руб. или 5,6 %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ниже ожидаемого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бюджета в 2018 году.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сокращение планируемых объемов поступлений повлияло то, что расчет произведен на основании фактических поступлений налога по состоянию на 01.07.2018 года с применением коэффициентов в соответствии с Методикой. </w:t>
      </w:r>
    </w:p>
    <w:p w:rsidR="00B73C3B" w:rsidRPr="00B73C3B" w:rsidRDefault="00892E15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При этом Методикой также предусмотрен расчет на основании фактических поступлений на 01 октября текущего года, что позволило бы приблизить плановые показатели 2019 года к прогнозу исполнения бюджета в 2018 году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на 2020 год составил 32 119,0 тыс. руб., что на 338,0 тыс. руб. или 1,1 %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 xml:space="preserve"> проекта 2019 года, в связи с 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применением коэффициентов ожидаемого роста поступлений, рассчитанного в соответствии с Методикой.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на 2021 год составил 32 166,0 тыс. руб., что на 47,0 тыс. руб. или 0,1 % больше проекта 2020 года, в связи с применением коэффициентов ожидаемого роста поступлений, рассчитанного в соответствии с Методикой.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4F2BF8" w:rsidRDefault="004F2BF8" w:rsidP="004F2B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73C3B" w:rsidRPr="004F2BF8">
        <w:rPr>
          <w:rFonts w:ascii="Times New Roman" w:eastAsia="Times New Roman" w:hAnsi="Times New Roman" w:cs="Times New Roman"/>
          <w:sz w:val="28"/>
          <w:szCs w:val="28"/>
        </w:rPr>
        <w:t>Платежи при п</w:t>
      </w:r>
      <w:r w:rsidR="00BC4CF7">
        <w:rPr>
          <w:rFonts w:ascii="Times New Roman" w:eastAsia="Times New Roman" w:hAnsi="Times New Roman" w:cs="Times New Roman"/>
          <w:sz w:val="28"/>
          <w:szCs w:val="28"/>
        </w:rPr>
        <w:t>ользовании природными ресурсами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В бюджет городского округа Красноуфимск запланировано поступление платы за негативное воздействие на окружающую среду в объеме 277,0 тыс. руб., что на 11,0 тыс. руб. или 4,1 %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ожидаемых поступлений 2018 года.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Планируемое уменьшение связано с изменениями, внесенными на основании Федерального закона от 31.12.2017 № 503-ФЗ «О внесении изменений в Федеральный закон «Об отходах производства и потребления» и отдельные законодательные акты Российской Федерации», в части перерасчета платы за размещение производства и потребления в 2016 и 2017 году.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на 2020-2021 год рассчитан на уровне 2019 года.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4F2BF8" w:rsidRDefault="004F2BF8" w:rsidP="004F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73C3B" w:rsidRPr="004F2BF8">
        <w:rPr>
          <w:rFonts w:ascii="Times New Roman" w:eastAsia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доходов от оказания платных услуг (работ) и компенсации затрат государства на 2019 год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 xml:space="preserve"> составлен в объеме 148,7 тыс. 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руб. (доходы от платных услуг оказываемых казенными учреждениями, возмещение расходов, связанных с эксплуатацией имущества), что на 29,6 тыс. руб. или 16,6 %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ниже ожидаемого исполнения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бюджета в 2018 году. Сокращение поступлений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обусловлено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планируемым уменьшением расходов по эксплуатации зданий (установка счетчиков на коммунальные услуги).</w:t>
      </w:r>
    </w:p>
    <w:p w:rsid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на 2020-2021 год  произведен с применением коэффициентов в соответствии с Методикой и составил 148,9 тыс. руб. и 146,8 тыс. руб. соответственно.</w:t>
      </w:r>
    </w:p>
    <w:p w:rsidR="00AD4947" w:rsidRDefault="00AD4947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947" w:rsidRPr="00B73C3B" w:rsidRDefault="00AD4947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lastRenderedPageBreak/>
        <w:t>4. Доходы от продажи материальных и нематериальных активов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План по доходам от продажи материальных и нематериальных активов установлен в объеме 16 289,8 тыс. руб., что на 8 515,8 тыс. руб. или 109,5 % 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прогнозного исполнения 2018 года.</w:t>
      </w:r>
    </w:p>
    <w:p w:rsid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составлен органом местного самоуправления, уполномоченным в сфере управления муниципальным имуществом «Управление муниципальным имуществом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Красноуфимск»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программой приватизации муниципальной собственности городского округа Красноуфимск на 2019 год, утвержденной Решением Думы городского округа Красноуфимск от 25.10.2018 года № 33/3 (далее – Программа приватизации). </w:t>
      </w:r>
    </w:p>
    <w:p w:rsidR="00EC2C56" w:rsidRPr="00EC2C56" w:rsidRDefault="00EC2C56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Динамика доходов от продажи материальных и нематериальных активов в разрезе подвидов до</w:t>
      </w:r>
      <w:r w:rsidR="009A4D7D">
        <w:rPr>
          <w:rFonts w:ascii="Times New Roman" w:eastAsia="Times New Roman" w:hAnsi="Times New Roman" w:cs="Times New Roman"/>
          <w:sz w:val="28"/>
          <w:szCs w:val="28"/>
        </w:rPr>
        <w:t>ходов представлена в таблице № 8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D7D" w:rsidRPr="009A4D7D" w:rsidRDefault="009A4D7D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02761A" w:rsidRDefault="009A4D7D" w:rsidP="000276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8</w:t>
      </w:r>
    </w:p>
    <w:tbl>
      <w:tblPr>
        <w:tblW w:w="5000" w:type="pct"/>
        <w:tblLayout w:type="fixed"/>
        <w:tblLook w:val="04A0"/>
      </w:tblPr>
      <w:tblGrid>
        <w:gridCol w:w="2803"/>
        <w:gridCol w:w="836"/>
        <w:gridCol w:w="706"/>
        <w:gridCol w:w="691"/>
        <w:gridCol w:w="578"/>
        <w:gridCol w:w="733"/>
        <w:gridCol w:w="819"/>
        <w:gridCol w:w="524"/>
        <w:gridCol w:w="691"/>
        <w:gridCol w:w="683"/>
        <w:gridCol w:w="507"/>
      </w:tblGrid>
      <w:tr w:rsidR="009A4D7D" w:rsidRPr="009A4D7D" w:rsidTr="009A4D7D">
        <w:trPr>
          <w:trHeight w:val="739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Прогноз исполнения на 2018 год, тыс. руб.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 на 2019 год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Рост (снижение) к прогнозному исполнению 2018 года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 на 2020 год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Рост (снижение) к плану 2019 года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 на 2021 год</w:t>
            </w:r>
          </w:p>
        </w:tc>
        <w:tc>
          <w:tcPr>
            <w:tcW w:w="62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Рост (снижение) к плану 2020 года</w:t>
            </w:r>
          </w:p>
        </w:tc>
      </w:tr>
      <w:tr w:rsidR="009A4D7D" w:rsidRPr="009A4D7D" w:rsidTr="009A4D7D">
        <w:trPr>
          <w:trHeight w:val="277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 руб.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тыс. руб.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9A4D7D" w:rsidRPr="009A4D7D" w:rsidTr="009A4D7D">
        <w:trPr>
          <w:trHeight w:val="143"/>
        </w:trPr>
        <w:tc>
          <w:tcPr>
            <w:tcW w:w="1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9A4D7D" w:rsidRPr="009A4D7D" w:rsidTr="009A4D7D">
        <w:trPr>
          <w:trHeight w:val="449"/>
        </w:trPr>
        <w:tc>
          <w:tcPr>
            <w:tcW w:w="1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Доходы от продажи материальных и нематериальных активов, </w:t>
            </w:r>
            <w:r w:rsidRPr="009A4D7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7 774,0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16 289,8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8 515,8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109,5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5 607,3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-10 682,5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-65,6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3 364,2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-2 243,1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-40,0</w:t>
            </w:r>
          </w:p>
        </w:tc>
      </w:tr>
      <w:tr w:rsidR="009A4D7D" w:rsidRPr="009A4D7D" w:rsidTr="009A4D7D">
        <w:trPr>
          <w:trHeight w:val="414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квартир находящихся в муниципальной собственности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-49,0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9A4D7D" w:rsidRPr="009A4D7D" w:rsidTr="009A4D7D">
        <w:trPr>
          <w:trHeight w:val="273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реализации объектов нежилого фонда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6 379,0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14 231,8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7 852,8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123,1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3 545,3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-10 686,5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-75,1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1 325,2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-2 220,1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-62,6</w:t>
            </w:r>
          </w:p>
        </w:tc>
      </w:tr>
      <w:tr w:rsidR="009A4D7D" w:rsidRPr="009A4D7D" w:rsidTr="009A4D7D">
        <w:trPr>
          <w:trHeight w:val="5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 до разграничения государственной собственности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1 296,0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2 000,0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2 004,0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1 982,0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-1,1</w:t>
            </w:r>
          </w:p>
        </w:tc>
      </w:tr>
      <w:tr w:rsidR="009A4D7D" w:rsidRPr="009A4D7D" w:rsidTr="009A4D7D">
        <w:trPr>
          <w:trHeight w:val="698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собственности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58,0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58,0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sz w:val="14"/>
                <w:szCs w:val="14"/>
              </w:rPr>
              <w:t>57,0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3B" w:rsidRPr="009A4D7D" w:rsidRDefault="00B73C3B" w:rsidP="0002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A4D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-1,7</w:t>
            </w:r>
          </w:p>
        </w:tc>
      </w:tr>
    </w:tbl>
    <w:p w:rsidR="004C1A12" w:rsidRPr="004C1A12" w:rsidRDefault="004C1A12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В 2019 году значительный рост поступлений планируется по доходам от реализации объектов нежилого фонда на 7 852,8 тыс. руб. или 123,8 % к ожидаемому исполнению 2018 года, что обусловлено включением в Программу приватизации: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- 4 объектов нежилого фонда общей площадью 1 490,2 кв.м., расположенного по адресу г. Красноуфимск, ул. Базовая, 12;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нежилого помещения площадью 52,6 кв.м., расположенного по адресу г. Красноуфимск, ул. Ачитска</w:t>
      </w:r>
      <w:r w:rsidR="00B81E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>, 6 пом. 2;</w:t>
      </w:r>
    </w:p>
    <w:p w:rsid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- нежилого помещения расположенного по адресу г. Красноуфимск, ул. Вокзальная, 3.</w:t>
      </w:r>
    </w:p>
    <w:p w:rsidR="001E617F" w:rsidRDefault="001E617F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17F">
        <w:rPr>
          <w:rFonts w:ascii="Times New Roman" w:eastAsia="Times New Roman" w:hAnsi="Times New Roman" w:cs="Times New Roman"/>
          <w:sz w:val="28"/>
          <w:szCs w:val="28"/>
        </w:rPr>
        <w:t>Стоит отметить, что Программа приватизации не содержит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планируемый объем доходов от продажи указанных объектов. </w:t>
      </w:r>
      <w:r w:rsidR="00F3740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бюджета на 2019 год не представлены расчеты, либо иное обоснование планируемых поступлений от продажи имущества</w:t>
      </w:r>
      <w:r w:rsidR="00B81E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2E04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 приватизации.</w:t>
      </w:r>
    </w:p>
    <w:p w:rsidR="00F37403" w:rsidRDefault="00F37403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03">
        <w:rPr>
          <w:rFonts w:ascii="Times New Roman" w:eastAsia="Times New Roman" w:hAnsi="Times New Roman" w:cs="Times New Roman"/>
          <w:sz w:val="28"/>
          <w:szCs w:val="28"/>
        </w:rPr>
        <w:t>Также учитывая ожидаемое испол</w:t>
      </w:r>
      <w:r w:rsidR="004B3862">
        <w:rPr>
          <w:rFonts w:ascii="Times New Roman" w:eastAsia="Times New Roman" w:hAnsi="Times New Roman" w:cs="Times New Roman"/>
          <w:sz w:val="28"/>
          <w:szCs w:val="28"/>
        </w:rPr>
        <w:t>нение в 2018 году по доходам от </w:t>
      </w:r>
      <w:r w:rsidRPr="00F37403">
        <w:rPr>
          <w:rFonts w:ascii="Times New Roman" w:eastAsia="Times New Roman" w:hAnsi="Times New Roman" w:cs="Times New Roman"/>
          <w:sz w:val="28"/>
          <w:szCs w:val="28"/>
        </w:rPr>
        <w:t>продажи имущества в сумме 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7403">
        <w:rPr>
          <w:rFonts w:ascii="Times New Roman" w:eastAsia="Times New Roman" w:hAnsi="Times New Roman" w:cs="Times New Roman"/>
          <w:sz w:val="28"/>
          <w:szCs w:val="28"/>
        </w:rPr>
        <w:t>379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руб. или </w:t>
      </w:r>
      <w:r w:rsidR="004B3862">
        <w:rPr>
          <w:rFonts w:ascii="Times New Roman" w:eastAsia="Times New Roman" w:hAnsi="Times New Roman" w:cs="Times New Roman"/>
          <w:sz w:val="28"/>
          <w:szCs w:val="28"/>
        </w:rPr>
        <w:t xml:space="preserve">30,9 % от плана </w:t>
      </w:r>
      <w:r w:rsidR="004B38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 недополучение доходов в сумме 14 281,0 тыс. руб. существует риск неисполнения плана по доходам в 2019 году. </w:t>
      </w:r>
    </w:p>
    <w:p w:rsidR="004B3862" w:rsidRPr="00F47B29" w:rsidRDefault="004B3862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4B3862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3C3B" w:rsidRPr="00B73C3B">
        <w:rPr>
          <w:rFonts w:ascii="Times New Roman" w:eastAsia="Times New Roman" w:hAnsi="Times New Roman" w:cs="Times New Roman"/>
          <w:sz w:val="28"/>
          <w:szCs w:val="28"/>
        </w:rPr>
        <w:t xml:space="preserve"> 2019 году планируется ув</w:t>
      </w:r>
      <w:r w:rsidR="00AD4947">
        <w:rPr>
          <w:rFonts w:ascii="Times New Roman" w:eastAsia="Times New Roman" w:hAnsi="Times New Roman" w:cs="Times New Roman"/>
          <w:sz w:val="28"/>
          <w:szCs w:val="28"/>
        </w:rPr>
        <w:t xml:space="preserve">еличение поступлений доходов от </w:t>
      </w:r>
      <w:r w:rsidR="00B73C3B" w:rsidRPr="00B73C3B">
        <w:rPr>
          <w:rFonts w:ascii="Times New Roman" w:eastAsia="Times New Roman" w:hAnsi="Times New Roman" w:cs="Times New Roman"/>
          <w:sz w:val="28"/>
          <w:szCs w:val="28"/>
        </w:rPr>
        <w:t>продажи земельных участков до разграничения государственной со</w:t>
      </w:r>
      <w:r w:rsidR="00AD4947">
        <w:rPr>
          <w:rFonts w:ascii="Times New Roman" w:eastAsia="Times New Roman" w:hAnsi="Times New Roman" w:cs="Times New Roman"/>
          <w:sz w:val="28"/>
          <w:szCs w:val="28"/>
        </w:rPr>
        <w:t>бственности на </w:t>
      </w:r>
      <w:r w:rsidR="00B73C3B" w:rsidRPr="00B73C3B">
        <w:rPr>
          <w:rFonts w:ascii="Times New Roman" w:eastAsia="Times New Roman" w:hAnsi="Times New Roman" w:cs="Times New Roman"/>
          <w:sz w:val="28"/>
          <w:szCs w:val="28"/>
        </w:rPr>
        <w:t>704,0 тыс. руб. или 54,3 % к ожидаемому исполнению 2018 года и доходов от продажи земельных участков, находящихся в собственности городского округа на 8,0 тыс. руб. или 16,0 процентов.</w:t>
      </w:r>
      <w:r w:rsidR="00AD4947">
        <w:rPr>
          <w:rFonts w:ascii="Times New Roman" w:eastAsia="Times New Roman" w:hAnsi="Times New Roman" w:cs="Times New Roman"/>
          <w:sz w:val="28"/>
          <w:szCs w:val="28"/>
        </w:rPr>
        <w:t xml:space="preserve"> Прогноз поступлений доходов от </w:t>
      </w:r>
      <w:r w:rsidR="00B73C3B" w:rsidRPr="00B73C3B">
        <w:rPr>
          <w:rFonts w:ascii="Times New Roman" w:eastAsia="Times New Roman" w:hAnsi="Times New Roman" w:cs="Times New Roman"/>
          <w:sz w:val="28"/>
          <w:szCs w:val="28"/>
        </w:rPr>
        <w:t>продажи земельных участков рассчитан на основании фактически поступивших доходов по состоянию на 01.07.2018 с применением коэффициентов в соответствии с Методикой.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на 2020-2021 год рассчитан с применением коэффициентов в соответствии с Методикой и составил 5 607,3 тыс. руб. и 3 364,2 тыс. рублей.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5. Штрафы, санкции, возмещение ущерба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Прогноз по штрафным санкциям на 2019 год рассчитан в сумме 5 678,7 тыс. руб., что на 4 552,0 тыс. руб. или 44,5 % 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ожидаемого исполнения 2018 года. Уменьшение показателя обусловлено тем, что расчет произведен на основании фактических поступлений платежей по состоянию на 01.07.2018 года с применением коэффициентов в соответствии с Методикой. 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При этом Методикой также предусмотрен расчет на основании фактических поступлений на 01 октября текущего года, что позволило бы приблизить плановые показатели 2019 года к прогнозу исполнения бюджета в 2018 году.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поступлений на 2020-2021 год рассчитан с применением коэффициентов в соответствии с Методикой и составил 5 687,8 тыс. руб. и 5 625,1 тыс. рублей.</w:t>
      </w:r>
    </w:p>
    <w:p w:rsidR="00B73C3B" w:rsidRPr="00F47B29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3C3B" w:rsidRPr="00B73C3B" w:rsidRDefault="00B73C3B" w:rsidP="009A4D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Согласно представленному проекту объем безвозмездных поступлений в 2019 году составит 770 582,2 тыс. руб., что на 154 638,8 тыс. руб. или 16,7 % меньше ожидаемого исполнения 2018 года.</w:t>
      </w:r>
    </w:p>
    <w:p w:rsidR="00B73C3B" w:rsidRPr="00B73C3B" w:rsidRDefault="00B73C3B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3B">
        <w:rPr>
          <w:rFonts w:ascii="Times New Roman" w:eastAsia="Times New Roman" w:hAnsi="Times New Roman" w:cs="Times New Roman"/>
          <w:sz w:val="28"/>
          <w:szCs w:val="28"/>
        </w:rPr>
        <w:t>Прогноз безвозмездных поступлений (кроме субвенций) доведен  Министерство</w:t>
      </w:r>
      <w:r w:rsidR="00892E15">
        <w:rPr>
          <w:rFonts w:ascii="Times New Roman" w:eastAsia="Times New Roman" w:hAnsi="Times New Roman" w:cs="Times New Roman"/>
          <w:sz w:val="28"/>
          <w:szCs w:val="28"/>
        </w:rPr>
        <w:t>м финансов Свердловской области</w:t>
      </w:r>
      <w:r w:rsidRPr="00B73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Проектом областного бюджета на 2019 год и плановый период 2020-2021 годы. Распределение межбюджетных по целевым программам будет проводиться Министерством финансов Свердловской области после принятия областного бюджета на 2019 год и плановый период 2020-2021 год.</w:t>
      </w:r>
    </w:p>
    <w:p w:rsidR="00F47B29" w:rsidRPr="00AD4947" w:rsidRDefault="00F47B29" w:rsidP="00B7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6802" w:rsidRPr="009F2293" w:rsidRDefault="00106802" w:rsidP="00B7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93"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560C83" w:rsidRPr="00F47B29" w:rsidRDefault="00560C83" w:rsidP="001068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802" w:rsidRPr="003A15CC" w:rsidRDefault="00106802" w:rsidP="0010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ab/>
        <w:t>Расходы бюджета на 201</w:t>
      </w:r>
      <w:r w:rsidR="003371E7">
        <w:rPr>
          <w:rFonts w:ascii="Times New Roman" w:hAnsi="Times New Roman" w:cs="Times New Roman"/>
          <w:sz w:val="28"/>
          <w:szCs w:val="28"/>
        </w:rPr>
        <w:t>9</w:t>
      </w:r>
      <w:r w:rsidRPr="003A15CC">
        <w:rPr>
          <w:rFonts w:ascii="Times New Roman" w:hAnsi="Times New Roman" w:cs="Times New Roman"/>
          <w:sz w:val="28"/>
          <w:szCs w:val="28"/>
        </w:rPr>
        <w:t xml:space="preserve"> – 202</w:t>
      </w:r>
      <w:r w:rsidR="003371E7">
        <w:rPr>
          <w:rFonts w:ascii="Times New Roman" w:hAnsi="Times New Roman" w:cs="Times New Roman"/>
          <w:sz w:val="28"/>
          <w:szCs w:val="28"/>
        </w:rPr>
        <w:t>1</w:t>
      </w:r>
      <w:r w:rsidR="00A13515">
        <w:rPr>
          <w:rFonts w:ascii="Times New Roman" w:hAnsi="Times New Roman" w:cs="Times New Roman"/>
          <w:sz w:val="28"/>
          <w:szCs w:val="28"/>
        </w:rPr>
        <w:t>год рассчитаны в соответствии с </w:t>
      </w:r>
      <w:r w:rsidRPr="003A15CC">
        <w:rPr>
          <w:rFonts w:ascii="Times New Roman" w:hAnsi="Times New Roman" w:cs="Times New Roman"/>
          <w:sz w:val="28"/>
          <w:szCs w:val="28"/>
        </w:rPr>
        <w:t>Порядком и методикой планирования бюджетных ассигнований бюджета. За базу для расчета приняты бюджетные ассигнования 20</w:t>
      </w:r>
      <w:r w:rsidR="003371E7">
        <w:rPr>
          <w:rFonts w:ascii="Times New Roman" w:hAnsi="Times New Roman" w:cs="Times New Roman"/>
          <w:sz w:val="28"/>
          <w:szCs w:val="28"/>
        </w:rPr>
        <w:t>18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A15CC">
        <w:rPr>
          <w:rFonts w:ascii="Times New Roman" w:hAnsi="Times New Roman" w:cs="Times New Roman"/>
          <w:sz w:val="28"/>
          <w:szCs w:val="28"/>
        </w:rPr>
        <w:lastRenderedPageBreak/>
        <w:t>утвержденные решением Думы ГО Красноуфимск от 21.12.201</w:t>
      </w:r>
      <w:r w:rsidR="003371E7">
        <w:rPr>
          <w:rFonts w:ascii="Times New Roman" w:hAnsi="Times New Roman" w:cs="Times New Roman"/>
          <w:sz w:val="28"/>
          <w:szCs w:val="28"/>
        </w:rPr>
        <w:t>7</w:t>
      </w:r>
      <w:r w:rsidR="009A4D7D">
        <w:rPr>
          <w:rFonts w:ascii="Times New Roman" w:hAnsi="Times New Roman" w:cs="Times New Roman"/>
          <w:sz w:val="28"/>
          <w:szCs w:val="28"/>
        </w:rPr>
        <w:t xml:space="preserve"> № </w:t>
      </w:r>
      <w:r w:rsidR="003371E7">
        <w:rPr>
          <w:rFonts w:ascii="Times New Roman" w:hAnsi="Times New Roman" w:cs="Times New Roman"/>
          <w:sz w:val="28"/>
          <w:szCs w:val="28"/>
        </w:rPr>
        <w:t>22</w:t>
      </w:r>
      <w:r w:rsidRPr="003A15CC">
        <w:rPr>
          <w:rFonts w:ascii="Times New Roman" w:hAnsi="Times New Roman" w:cs="Times New Roman"/>
          <w:sz w:val="28"/>
          <w:szCs w:val="28"/>
        </w:rPr>
        <w:t>/</w:t>
      </w:r>
      <w:r w:rsidR="003371E7">
        <w:rPr>
          <w:rFonts w:ascii="Times New Roman" w:hAnsi="Times New Roman" w:cs="Times New Roman"/>
          <w:sz w:val="28"/>
          <w:szCs w:val="28"/>
        </w:rPr>
        <w:t>2</w:t>
      </w:r>
      <w:r w:rsidR="009A4D7D">
        <w:rPr>
          <w:rFonts w:ascii="Times New Roman" w:hAnsi="Times New Roman" w:cs="Times New Roman"/>
          <w:sz w:val="28"/>
          <w:szCs w:val="28"/>
        </w:rPr>
        <w:t> </w:t>
      </w:r>
      <w:r w:rsidRPr="003A15CC">
        <w:rPr>
          <w:rFonts w:ascii="Times New Roman" w:hAnsi="Times New Roman" w:cs="Times New Roman"/>
          <w:sz w:val="28"/>
          <w:szCs w:val="28"/>
        </w:rPr>
        <w:t>(первоначальный бюджет 201</w:t>
      </w:r>
      <w:r w:rsidR="003371E7">
        <w:rPr>
          <w:rFonts w:ascii="Times New Roman" w:hAnsi="Times New Roman" w:cs="Times New Roman"/>
          <w:sz w:val="28"/>
          <w:szCs w:val="28"/>
        </w:rPr>
        <w:t>8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106802" w:rsidRPr="003A15CC" w:rsidRDefault="00106802" w:rsidP="0010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ab/>
        <w:t>Формирование расходов бюджета осуществлялось с учетом коэффициентов индексации:</w:t>
      </w:r>
    </w:p>
    <w:p w:rsidR="003371E7" w:rsidRDefault="00106802" w:rsidP="009278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E7">
        <w:rPr>
          <w:rFonts w:ascii="Times New Roman" w:hAnsi="Times New Roman" w:cs="Times New Roman"/>
          <w:sz w:val="28"/>
          <w:szCs w:val="28"/>
        </w:rPr>
        <w:t>фондов оплаты труда работников культуры, педагогических работников организаций дополнительного образования, которым предусмотрено повышение оплаты труда</w:t>
      </w:r>
      <w:r w:rsidR="0013064C">
        <w:rPr>
          <w:rFonts w:ascii="Times New Roman" w:hAnsi="Times New Roman" w:cs="Times New Roman"/>
          <w:sz w:val="28"/>
          <w:szCs w:val="28"/>
        </w:rPr>
        <w:t xml:space="preserve"> Указами президента </w:t>
      </w:r>
      <w:r w:rsidR="009A4D7D">
        <w:rPr>
          <w:rFonts w:ascii="Times New Roman" w:hAnsi="Times New Roman" w:cs="Times New Roman"/>
          <w:sz w:val="28"/>
          <w:szCs w:val="28"/>
        </w:rPr>
        <w:t>РФ </w:t>
      </w:r>
      <w:r w:rsidR="0013064C">
        <w:rPr>
          <w:rFonts w:ascii="Times New Roman" w:hAnsi="Times New Roman" w:cs="Times New Roman"/>
          <w:sz w:val="28"/>
          <w:szCs w:val="28"/>
        </w:rPr>
        <w:t>от 7 мая </w:t>
      </w:r>
      <w:r w:rsidRPr="003371E7">
        <w:rPr>
          <w:rFonts w:ascii="Times New Roman" w:hAnsi="Times New Roman" w:cs="Times New Roman"/>
          <w:sz w:val="28"/>
          <w:szCs w:val="28"/>
        </w:rPr>
        <w:t>2012 года № 597 «О мерах по реализации государственной социальной политики», в соответствии с параметрами «дорожных карт»;</w:t>
      </w:r>
    </w:p>
    <w:p w:rsidR="009278DE" w:rsidRDefault="00106802" w:rsidP="0010680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DE">
        <w:rPr>
          <w:rFonts w:ascii="Times New Roman" w:hAnsi="Times New Roman" w:cs="Times New Roman"/>
          <w:sz w:val="28"/>
          <w:szCs w:val="28"/>
        </w:rPr>
        <w:t xml:space="preserve">фондов оплаты труда </w:t>
      </w:r>
      <w:r w:rsidR="003371E7" w:rsidRPr="009278DE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9278D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371E7" w:rsidRPr="009278DE">
        <w:rPr>
          <w:rFonts w:ascii="Times New Roman" w:hAnsi="Times New Roman" w:cs="Times New Roman"/>
          <w:sz w:val="28"/>
          <w:szCs w:val="28"/>
        </w:rPr>
        <w:t>муници</w:t>
      </w:r>
      <w:r w:rsidRPr="009278DE">
        <w:rPr>
          <w:rFonts w:ascii="Times New Roman" w:hAnsi="Times New Roman" w:cs="Times New Roman"/>
          <w:sz w:val="28"/>
          <w:szCs w:val="28"/>
        </w:rPr>
        <w:t>пальных учреждений в связи с ростом потребительских</w:t>
      </w:r>
      <w:r w:rsidR="0013064C">
        <w:rPr>
          <w:rFonts w:ascii="Times New Roman" w:hAnsi="Times New Roman" w:cs="Times New Roman"/>
          <w:sz w:val="28"/>
          <w:szCs w:val="28"/>
        </w:rPr>
        <w:t xml:space="preserve"> цен на товары и услуги с 1 </w:t>
      </w:r>
      <w:r w:rsidRPr="009278DE">
        <w:rPr>
          <w:rFonts w:ascii="Times New Roman" w:hAnsi="Times New Roman" w:cs="Times New Roman"/>
          <w:sz w:val="28"/>
          <w:szCs w:val="28"/>
        </w:rPr>
        <w:t>октября 201</w:t>
      </w:r>
      <w:r w:rsidR="003371E7" w:rsidRPr="009278DE">
        <w:rPr>
          <w:rFonts w:ascii="Times New Roman" w:hAnsi="Times New Roman" w:cs="Times New Roman"/>
          <w:sz w:val="28"/>
          <w:szCs w:val="28"/>
        </w:rPr>
        <w:t>9</w:t>
      </w:r>
      <w:r w:rsidRPr="009278DE">
        <w:rPr>
          <w:rFonts w:ascii="Times New Roman" w:hAnsi="Times New Roman" w:cs="Times New Roman"/>
          <w:sz w:val="28"/>
          <w:szCs w:val="28"/>
        </w:rPr>
        <w:t xml:space="preserve"> года – 1,04</w:t>
      </w:r>
      <w:r w:rsidR="003371E7" w:rsidRPr="009278DE">
        <w:rPr>
          <w:rFonts w:ascii="Times New Roman" w:hAnsi="Times New Roman" w:cs="Times New Roman"/>
          <w:sz w:val="28"/>
          <w:szCs w:val="28"/>
        </w:rPr>
        <w:t>3</w:t>
      </w:r>
      <w:r w:rsidR="00426507" w:rsidRPr="009278DE">
        <w:rPr>
          <w:rFonts w:ascii="Times New Roman" w:hAnsi="Times New Roman" w:cs="Times New Roman"/>
          <w:sz w:val="28"/>
          <w:szCs w:val="28"/>
        </w:rPr>
        <w:t>; с 1 октября 2020 года  – 1,038; с 1 октября 2021 года – 1,04;</w:t>
      </w:r>
    </w:p>
    <w:p w:rsidR="009278DE" w:rsidRPr="009278DE" w:rsidRDefault="00106802" w:rsidP="0010680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DE">
        <w:rPr>
          <w:rFonts w:ascii="Times New Roman" w:hAnsi="Times New Roman" w:cs="Times New Roman"/>
          <w:sz w:val="28"/>
          <w:szCs w:val="28"/>
        </w:rPr>
        <w:t>фондов оплаты труда работников органов местного самоуправления, в связи с ростом потребите</w:t>
      </w:r>
      <w:r w:rsidR="0013064C">
        <w:rPr>
          <w:rFonts w:ascii="Times New Roman" w:hAnsi="Times New Roman" w:cs="Times New Roman"/>
          <w:sz w:val="28"/>
          <w:szCs w:val="28"/>
        </w:rPr>
        <w:t>льских цен на товары и услуги с </w:t>
      </w:r>
      <w:r w:rsidRPr="009278DE">
        <w:rPr>
          <w:rFonts w:ascii="Times New Roman" w:hAnsi="Times New Roman" w:cs="Times New Roman"/>
          <w:sz w:val="28"/>
          <w:szCs w:val="28"/>
        </w:rPr>
        <w:t>1 октября 2018 года – 1,04</w:t>
      </w:r>
      <w:r w:rsidR="00426507" w:rsidRPr="009278DE">
        <w:rPr>
          <w:rFonts w:ascii="Times New Roman" w:hAnsi="Times New Roman" w:cs="Times New Roman"/>
          <w:sz w:val="28"/>
          <w:szCs w:val="28"/>
        </w:rPr>
        <w:t>3</w:t>
      </w:r>
      <w:r w:rsidRPr="009278DE">
        <w:rPr>
          <w:rFonts w:ascii="Times New Roman" w:hAnsi="Times New Roman" w:cs="Times New Roman"/>
          <w:sz w:val="28"/>
          <w:szCs w:val="28"/>
        </w:rPr>
        <w:t>;</w:t>
      </w:r>
      <w:r w:rsidR="00426507" w:rsidRPr="009278DE">
        <w:rPr>
          <w:rFonts w:ascii="Times New Roman" w:hAnsi="Times New Roman" w:cs="Times New Roman"/>
          <w:sz w:val="28"/>
          <w:szCs w:val="28"/>
        </w:rPr>
        <w:t xml:space="preserve"> с 1 октября 2020 года  – 1,038; с 1 октября 2021 года – 1,04;</w:t>
      </w:r>
    </w:p>
    <w:p w:rsidR="00426507" w:rsidRDefault="00426507" w:rsidP="0010680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DE">
        <w:rPr>
          <w:rFonts w:ascii="Times New Roman" w:hAnsi="Times New Roman" w:cs="Times New Roman"/>
          <w:sz w:val="28"/>
          <w:szCs w:val="28"/>
        </w:rPr>
        <w:t>прочих расходовс связи с</w:t>
      </w:r>
      <w:r w:rsidR="0013064C">
        <w:rPr>
          <w:rFonts w:ascii="Times New Roman" w:hAnsi="Times New Roman" w:cs="Times New Roman"/>
          <w:sz w:val="28"/>
          <w:szCs w:val="28"/>
        </w:rPr>
        <w:t xml:space="preserve"> ростом потребительских цен с 1 </w:t>
      </w:r>
      <w:r w:rsidRPr="009278DE">
        <w:rPr>
          <w:rFonts w:ascii="Times New Roman" w:hAnsi="Times New Roman" w:cs="Times New Roman"/>
          <w:sz w:val="28"/>
          <w:szCs w:val="28"/>
        </w:rPr>
        <w:t>октября 2018 года – 1,043; с 1 октября 2020 года  – 1,038; с 1 октября 2021 года – 1,04.</w:t>
      </w:r>
    </w:p>
    <w:p w:rsidR="001532B8" w:rsidRDefault="001532B8" w:rsidP="001532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D494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увеличение фонда оплаты труда муниципальным служащим на основании решения Думы городского округа Красноуфимск от</w:t>
      </w:r>
      <w:r w:rsidR="001306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25.10.2018 № 33/6 «О внесении изменений в решение Думы городского округа Красноуфимск от 29.01.2009 № 5/3 «</w:t>
      </w:r>
      <w:r w:rsidR="00A114AB">
        <w:rPr>
          <w:rFonts w:ascii="Times New Roman" w:hAnsi="Times New Roman" w:cs="Times New Roman"/>
          <w:sz w:val="28"/>
          <w:szCs w:val="28"/>
        </w:rPr>
        <w:t>Об утверждении Положения «Об</w:t>
      </w:r>
      <w:r w:rsidR="0013064C">
        <w:rPr>
          <w:rFonts w:ascii="Times New Roman" w:hAnsi="Times New Roman" w:cs="Times New Roman"/>
          <w:sz w:val="28"/>
          <w:szCs w:val="28"/>
        </w:rPr>
        <w:t> о</w:t>
      </w:r>
      <w:r w:rsidR="00A114AB">
        <w:rPr>
          <w:rFonts w:ascii="Times New Roman" w:hAnsi="Times New Roman" w:cs="Times New Roman"/>
          <w:sz w:val="28"/>
          <w:szCs w:val="28"/>
        </w:rPr>
        <w:t>плате труда муниципальных служащих органов местного самоуправления городского округа Красноуфимск».</w:t>
      </w:r>
    </w:p>
    <w:p w:rsidR="00511E98" w:rsidRDefault="00A114AB" w:rsidP="001532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увеличен фонд оплаты труда работникам, замещающим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самоуправления, младшему обслуживающему персоналу, водителям </w:t>
      </w:r>
      <w:r w:rsidR="00511E98">
        <w:rPr>
          <w:rFonts w:ascii="Times New Roman" w:hAnsi="Times New Roman" w:cs="Times New Roman"/>
          <w:sz w:val="28"/>
          <w:szCs w:val="28"/>
        </w:rPr>
        <w:t xml:space="preserve">в отсутствие нормативно-правового акта. </w:t>
      </w:r>
    </w:p>
    <w:p w:rsidR="00511E98" w:rsidRDefault="00511E98" w:rsidP="001532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представлен</w:t>
      </w:r>
      <w:r w:rsidR="006B3E1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 Положения</w:t>
      </w:r>
      <w:r w:rsidRPr="00511E98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городского округа Красноуфимск и рабочих отдельных профессий, и младшего обслуживающего персонала, занятых обслуживанием органов местного самоуправления городского округа Красноуфимск.</w:t>
      </w:r>
    </w:p>
    <w:p w:rsidR="001B07FC" w:rsidRPr="00AD4947" w:rsidRDefault="001B07FC" w:rsidP="001B07FC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0330C" w:rsidRDefault="0060330C" w:rsidP="006033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Красноуфимск на 2019 год запланированы в объеме 1 282 734,6 тыс. руб., что на 163 470,6 тыс. руб. или 12,7 % </w:t>
      </w:r>
      <w:r w:rsidR="00F52D9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ожидаемого исполн</w:t>
      </w:r>
      <w:r w:rsidR="0013064C">
        <w:rPr>
          <w:rFonts w:ascii="Times New Roman" w:hAnsi="Times New Roman" w:cs="Times New Roman"/>
          <w:sz w:val="28"/>
          <w:szCs w:val="28"/>
        </w:rPr>
        <w:t>ения в 2018 году, в сравнении с 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в 2017 году </w:t>
      </w:r>
      <w:r w:rsidR="00F52D9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на 99 650,6 или 8,4 %(Приложение №2).</w:t>
      </w:r>
    </w:p>
    <w:p w:rsidR="00C40FC8" w:rsidRDefault="00F52D90" w:rsidP="006033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0FC8">
        <w:rPr>
          <w:rFonts w:ascii="Times New Roman" w:hAnsi="Times New Roman" w:cs="Times New Roman"/>
          <w:sz w:val="28"/>
          <w:szCs w:val="28"/>
        </w:rPr>
        <w:t>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0FC8">
        <w:rPr>
          <w:rFonts w:ascii="Times New Roman" w:hAnsi="Times New Roman" w:cs="Times New Roman"/>
          <w:sz w:val="28"/>
          <w:szCs w:val="28"/>
        </w:rPr>
        <w:t xml:space="preserve"> Проекта на 2019 год от ожидаемого исполнения 2018 года в общем объеме 163 470,6 тыс. руб.</w:t>
      </w:r>
      <w:r w:rsidR="004B41AF">
        <w:rPr>
          <w:rFonts w:ascii="Times New Roman" w:hAnsi="Times New Roman" w:cs="Times New Roman"/>
          <w:sz w:val="28"/>
          <w:szCs w:val="28"/>
        </w:rPr>
        <w:t xml:space="preserve"> (Приложение № 2) </w:t>
      </w:r>
      <w:r>
        <w:rPr>
          <w:rFonts w:ascii="Times New Roman" w:hAnsi="Times New Roman" w:cs="Times New Roman"/>
          <w:sz w:val="28"/>
          <w:szCs w:val="28"/>
        </w:rPr>
        <w:t>обусловлены</w:t>
      </w:r>
      <w:r w:rsidR="00C40FC8">
        <w:rPr>
          <w:rFonts w:ascii="Times New Roman" w:hAnsi="Times New Roman" w:cs="Times New Roman"/>
          <w:sz w:val="28"/>
          <w:szCs w:val="28"/>
        </w:rPr>
        <w:t>:</w:t>
      </w:r>
    </w:p>
    <w:p w:rsidR="00C40FC8" w:rsidRDefault="0013064C" w:rsidP="006033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уменьшение</w:t>
      </w:r>
      <w:r w:rsidR="00C40FC8">
        <w:rPr>
          <w:rFonts w:ascii="Times New Roman" w:hAnsi="Times New Roman" w:cs="Times New Roman"/>
          <w:sz w:val="28"/>
          <w:szCs w:val="28"/>
        </w:rPr>
        <w:t xml:space="preserve"> расходов по разделам </w:t>
      </w:r>
      <w:r w:rsidR="001B07FC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C40FC8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07FC">
        <w:rPr>
          <w:rFonts w:ascii="Times New Roman" w:hAnsi="Times New Roman" w:cs="Times New Roman"/>
          <w:sz w:val="28"/>
          <w:szCs w:val="28"/>
        </w:rPr>
        <w:t xml:space="preserve">110 970 тыс. руб. или более 100 %, «Жилищно-коммунальное хозяйство» </w:t>
      </w:r>
      <w:r w:rsidR="001B07FC" w:rsidRPr="009278DE">
        <w:rPr>
          <w:rFonts w:ascii="Times New Roman" w:hAnsi="Times New Roman" w:cs="Times New Roman"/>
          <w:sz w:val="28"/>
          <w:szCs w:val="28"/>
        </w:rPr>
        <w:t>–</w:t>
      </w:r>
      <w:r w:rsidR="001B07FC">
        <w:rPr>
          <w:rFonts w:ascii="Times New Roman" w:hAnsi="Times New Roman" w:cs="Times New Roman"/>
          <w:sz w:val="28"/>
          <w:szCs w:val="28"/>
        </w:rPr>
        <w:t xml:space="preserve"> 61 378,7 тыс. руб.</w:t>
      </w:r>
      <w:r w:rsidR="00442DE4">
        <w:rPr>
          <w:rFonts w:ascii="Times New Roman" w:hAnsi="Times New Roman" w:cs="Times New Roman"/>
          <w:sz w:val="28"/>
          <w:szCs w:val="28"/>
        </w:rPr>
        <w:t xml:space="preserve"> или более 100 %, «Образование»  </w:t>
      </w:r>
      <w:r w:rsidR="00442DE4" w:rsidRPr="009278DE">
        <w:rPr>
          <w:rFonts w:ascii="Times New Roman" w:hAnsi="Times New Roman" w:cs="Times New Roman"/>
          <w:sz w:val="28"/>
          <w:szCs w:val="28"/>
        </w:rPr>
        <w:t>–</w:t>
      </w:r>
      <w:r w:rsidR="00442DE4">
        <w:rPr>
          <w:rFonts w:ascii="Times New Roman" w:hAnsi="Times New Roman" w:cs="Times New Roman"/>
          <w:sz w:val="28"/>
          <w:szCs w:val="28"/>
        </w:rPr>
        <w:t xml:space="preserve"> 14 931,5 или 1,8</w:t>
      </w:r>
      <w:r w:rsidR="009A4D7D">
        <w:rPr>
          <w:rFonts w:ascii="Times New Roman" w:hAnsi="Times New Roman" w:cs="Times New Roman"/>
          <w:sz w:val="28"/>
          <w:szCs w:val="28"/>
        </w:rPr>
        <w:t> %, </w:t>
      </w:r>
      <w:r w:rsidR="00442DE4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</w:t>
      </w:r>
      <w:r w:rsidR="00442DE4" w:rsidRPr="009278DE">
        <w:rPr>
          <w:rFonts w:ascii="Times New Roman" w:hAnsi="Times New Roman" w:cs="Times New Roman"/>
          <w:sz w:val="28"/>
          <w:szCs w:val="28"/>
        </w:rPr>
        <w:t>–</w:t>
      </w:r>
      <w:r w:rsidR="004B41AF">
        <w:rPr>
          <w:rFonts w:ascii="Times New Roman" w:hAnsi="Times New Roman" w:cs="Times New Roman"/>
          <w:sz w:val="28"/>
          <w:szCs w:val="28"/>
        </w:rPr>
        <w:t xml:space="preserve"> 3 201,3 тыс. руб. или 6,6 %;</w:t>
      </w:r>
    </w:p>
    <w:p w:rsidR="00DA6E43" w:rsidRDefault="00C40FC8" w:rsidP="006033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увеличени</w:t>
      </w:r>
      <w:r w:rsidR="001306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расходов по разделам </w:t>
      </w:r>
      <w:r w:rsidR="004B4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4B41AF">
        <w:rPr>
          <w:rFonts w:ascii="Times New Roman" w:hAnsi="Times New Roman" w:cs="Times New Roman"/>
          <w:sz w:val="28"/>
          <w:szCs w:val="28"/>
        </w:rPr>
        <w:t xml:space="preserve">» на 10 896,1 тыс. руб. или 12,1 </w:t>
      </w:r>
      <w:r w:rsidR="0013064C">
        <w:rPr>
          <w:rFonts w:ascii="Times New Roman" w:hAnsi="Times New Roman" w:cs="Times New Roman"/>
          <w:sz w:val="28"/>
          <w:szCs w:val="28"/>
        </w:rPr>
        <w:t>%, «Национальная безопасность и </w:t>
      </w:r>
      <w:r w:rsidR="004B41AF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деятельность» </w:t>
      </w:r>
      <w:r w:rsidR="004B41AF" w:rsidRPr="009278DE">
        <w:rPr>
          <w:rFonts w:ascii="Times New Roman" w:hAnsi="Times New Roman" w:cs="Times New Roman"/>
          <w:sz w:val="28"/>
          <w:szCs w:val="28"/>
        </w:rPr>
        <w:t xml:space="preserve">– </w:t>
      </w:r>
      <w:r w:rsidR="004B41AF">
        <w:rPr>
          <w:rFonts w:ascii="Times New Roman" w:hAnsi="Times New Roman" w:cs="Times New Roman"/>
          <w:sz w:val="28"/>
          <w:szCs w:val="28"/>
        </w:rPr>
        <w:t xml:space="preserve">525,5 тыс. руб. или 6,6 %, «Культура, кинематография» </w:t>
      </w:r>
      <w:r w:rsidR="004B41AF" w:rsidRPr="009278DE">
        <w:rPr>
          <w:rFonts w:ascii="Times New Roman" w:hAnsi="Times New Roman" w:cs="Times New Roman"/>
          <w:sz w:val="28"/>
          <w:szCs w:val="28"/>
        </w:rPr>
        <w:t xml:space="preserve">– </w:t>
      </w:r>
      <w:r w:rsidR="004B41AF">
        <w:rPr>
          <w:rFonts w:ascii="Times New Roman" w:hAnsi="Times New Roman" w:cs="Times New Roman"/>
          <w:sz w:val="28"/>
          <w:szCs w:val="28"/>
        </w:rPr>
        <w:t xml:space="preserve">6152,2 тыс. руб. или 6,6 %, «Социальная политика» </w:t>
      </w:r>
      <w:r w:rsidR="004B41AF" w:rsidRPr="009278DE">
        <w:rPr>
          <w:rFonts w:ascii="Times New Roman" w:hAnsi="Times New Roman" w:cs="Times New Roman"/>
          <w:sz w:val="28"/>
          <w:szCs w:val="28"/>
        </w:rPr>
        <w:t xml:space="preserve">– </w:t>
      </w:r>
      <w:r w:rsidR="004B41AF">
        <w:rPr>
          <w:rFonts w:ascii="Times New Roman" w:hAnsi="Times New Roman" w:cs="Times New Roman"/>
          <w:sz w:val="28"/>
          <w:szCs w:val="28"/>
        </w:rPr>
        <w:t xml:space="preserve">8 166,0 тыс. руб. или 7,7 %, </w:t>
      </w:r>
      <w:r w:rsidR="00713BE3">
        <w:rPr>
          <w:rFonts w:ascii="Times New Roman" w:hAnsi="Times New Roman" w:cs="Times New Roman"/>
          <w:sz w:val="28"/>
          <w:szCs w:val="28"/>
        </w:rPr>
        <w:t xml:space="preserve">«Средства массовой информации» </w:t>
      </w:r>
      <w:r w:rsidR="00713BE3" w:rsidRPr="009278DE">
        <w:rPr>
          <w:rFonts w:ascii="Times New Roman" w:hAnsi="Times New Roman" w:cs="Times New Roman"/>
          <w:sz w:val="28"/>
          <w:szCs w:val="28"/>
        </w:rPr>
        <w:t>–</w:t>
      </w:r>
      <w:r w:rsidR="00713BE3">
        <w:rPr>
          <w:rFonts w:ascii="Times New Roman" w:hAnsi="Times New Roman" w:cs="Times New Roman"/>
          <w:sz w:val="28"/>
          <w:szCs w:val="28"/>
        </w:rPr>
        <w:t xml:space="preserve"> 35,7 тыс. руб. или 3,2 %, «Обслуживание государственного и муниципального долга» </w:t>
      </w:r>
      <w:r w:rsidR="00713BE3" w:rsidRPr="009278DE">
        <w:rPr>
          <w:rFonts w:ascii="Times New Roman" w:hAnsi="Times New Roman" w:cs="Times New Roman"/>
          <w:sz w:val="28"/>
          <w:szCs w:val="28"/>
        </w:rPr>
        <w:t>–</w:t>
      </w:r>
      <w:r w:rsidR="00713BE3">
        <w:rPr>
          <w:rFonts w:ascii="Times New Roman" w:hAnsi="Times New Roman" w:cs="Times New Roman"/>
          <w:sz w:val="28"/>
          <w:szCs w:val="28"/>
        </w:rPr>
        <w:t xml:space="preserve"> 1 235,4 тыс. руб. или более 100 %.</w:t>
      </w:r>
    </w:p>
    <w:p w:rsidR="00C04DA9" w:rsidRPr="0013064C" w:rsidRDefault="00C04DA9" w:rsidP="006033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57B3" w:rsidRDefault="00DA57B3" w:rsidP="00DA57B3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733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5B02" w:rsidRDefault="000D5B02" w:rsidP="00DA57B3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7B3" w:rsidRDefault="009A4D7D" w:rsidP="009A4D7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</w:t>
      </w:r>
      <w:r w:rsidRPr="009A4D7D">
        <w:rPr>
          <w:rFonts w:ascii="Times New Roman" w:hAnsi="Times New Roman" w:cs="Times New Roman"/>
          <w:sz w:val="28"/>
          <w:szCs w:val="28"/>
        </w:rPr>
        <w:t>Структура общего объема расходов на 2019 год</w:t>
      </w:r>
    </w:p>
    <w:p w:rsidR="0010487B" w:rsidRPr="00EC2C56" w:rsidRDefault="0010487B" w:rsidP="009A4D7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06802" w:rsidRDefault="00DA6E43" w:rsidP="001068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расходов Проекта приоритетным направлением является </w:t>
      </w:r>
      <w:r w:rsidR="0013064C">
        <w:rPr>
          <w:rFonts w:ascii="Times New Roman" w:hAnsi="Times New Roman" w:cs="Times New Roman"/>
          <w:sz w:val="28"/>
          <w:szCs w:val="28"/>
        </w:rPr>
        <w:t xml:space="preserve"> социальная</w:t>
      </w:r>
      <w:r w:rsidR="00106802" w:rsidRPr="003A15CC">
        <w:rPr>
          <w:rFonts w:ascii="Times New Roman" w:hAnsi="Times New Roman" w:cs="Times New Roman"/>
          <w:sz w:val="28"/>
          <w:szCs w:val="28"/>
        </w:rPr>
        <w:t xml:space="preserve"> сфер</w:t>
      </w:r>
      <w:r w:rsidR="001306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наибольший удельный вес занимает Образование – 62 %,</w:t>
      </w:r>
      <w:r w:rsidR="00106802" w:rsidRPr="003A15CC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06802" w:rsidRPr="003A15CC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а – 9 %</w:t>
      </w:r>
      <w:r w:rsidR="00106802" w:rsidRPr="003A15CC">
        <w:rPr>
          <w:rFonts w:ascii="Times New Roman" w:hAnsi="Times New Roman" w:cs="Times New Roman"/>
          <w:sz w:val="28"/>
          <w:szCs w:val="28"/>
        </w:rPr>
        <w:t>, что подтверждает социальную направленность расходов бюджета.</w:t>
      </w:r>
    </w:p>
    <w:p w:rsidR="00B21068" w:rsidRPr="00EC2C56" w:rsidRDefault="00B21068" w:rsidP="001068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37A8E" w:rsidRDefault="00300675" w:rsidP="00437A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036672">
        <w:rPr>
          <w:rFonts w:ascii="Times New Roman" w:hAnsi="Times New Roman" w:cs="Times New Roman"/>
          <w:sz w:val="28"/>
          <w:szCs w:val="28"/>
        </w:rPr>
        <w:t>В соотв</w:t>
      </w:r>
      <w:r w:rsidRPr="003A15CC">
        <w:rPr>
          <w:rFonts w:ascii="Times New Roman" w:hAnsi="Times New Roman" w:cs="Times New Roman"/>
          <w:sz w:val="28"/>
          <w:szCs w:val="28"/>
        </w:rPr>
        <w:t>етствии со статьей 172 БК РФ Проект бюджета на 201</w:t>
      </w:r>
      <w:r w:rsidR="0013064C">
        <w:rPr>
          <w:rFonts w:ascii="Times New Roman" w:hAnsi="Times New Roman" w:cs="Times New Roman"/>
          <w:sz w:val="28"/>
          <w:szCs w:val="28"/>
        </w:rPr>
        <w:t>9 год и п</w:t>
      </w:r>
      <w:r>
        <w:rPr>
          <w:rFonts w:ascii="Times New Roman" w:hAnsi="Times New Roman" w:cs="Times New Roman"/>
          <w:sz w:val="28"/>
          <w:szCs w:val="28"/>
        </w:rPr>
        <w:t>лановый период 2020</w:t>
      </w:r>
      <w:r w:rsidRPr="003A15C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годы сформирован </w:t>
      </w:r>
      <w:r w:rsidRPr="000208CE">
        <w:rPr>
          <w:rFonts w:ascii="Times New Roman" w:hAnsi="Times New Roman" w:cs="Times New Roman"/>
          <w:sz w:val="28"/>
          <w:szCs w:val="28"/>
        </w:rPr>
        <w:t>на основе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4D7D">
        <w:rPr>
          <w:rFonts w:ascii="Times New Roman" w:hAnsi="Times New Roman" w:cs="Times New Roman"/>
          <w:sz w:val="28"/>
          <w:szCs w:val="28"/>
        </w:rPr>
        <w:t> </w:t>
      </w:r>
      <w:r w:rsidRPr="000208C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A15CC">
        <w:rPr>
          <w:rFonts w:ascii="Times New Roman" w:hAnsi="Times New Roman" w:cs="Times New Roman"/>
          <w:sz w:val="28"/>
          <w:szCs w:val="28"/>
        </w:rPr>
        <w:t>, объем  бюд</w:t>
      </w:r>
      <w:r w:rsidR="0013064C">
        <w:rPr>
          <w:rFonts w:ascii="Times New Roman" w:hAnsi="Times New Roman" w:cs="Times New Roman"/>
          <w:sz w:val="28"/>
          <w:szCs w:val="28"/>
        </w:rPr>
        <w:t>жетных ассигнований которых,  в 2</w:t>
      </w:r>
      <w:r w:rsidRPr="003A15C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5C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86091">
        <w:rPr>
          <w:rFonts w:ascii="Times New Roman" w:hAnsi="Times New Roman" w:cs="Times New Roman"/>
          <w:sz w:val="28"/>
          <w:szCs w:val="28"/>
        </w:rPr>
        <w:t>1 273 976,5 тыс. руб</w:t>
      </w:r>
      <w:r w:rsidR="00586091" w:rsidRPr="009C078B">
        <w:rPr>
          <w:rFonts w:ascii="Times New Roman" w:hAnsi="Times New Roman" w:cs="Times New Roman"/>
          <w:sz w:val="28"/>
          <w:szCs w:val="28"/>
        </w:rPr>
        <w:t>.</w:t>
      </w:r>
      <w:r w:rsidRPr="009C078B">
        <w:rPr>
          <w:rFonts w:ascii="Times New Roman" w:hAnsi="Times New Roman" w:cs="Times New Roman"/>
          <w:sz w:val="28"/>
          <w:szCs w:val="28"/>
        </w:rPr>
        <w:t>(99,</w:t>
      </w:r>
      <w:r w:rsidR="009C078B" w:rsidRPr="009C078B">
        <w:rPr>
          <w:rFonts w:ascii="Times New Roman" w:hAnsi="Times New Roman" w:cs="Times New Roman"/>
          <w:sz w:val="28"/>
          <w:szCs w:val="28"/>
        </w:rPr>
        <w:t>3</w:t>
      </w:r>
      <w:r w:rsidRPr="009C078B">
        <w:rPr>
          <w:rFonts w:ascii="Times New Roman" w:hAnsi="Times New Roman" w:cs="Times New Roman"/>
          <w:sz w:val="28"/>
          <w:szCs w:val="28"/>
        </w:rPr>
        <w:t xml:space="preserve"> % от общего объема р</w:t>
      </w:r>
      <w:r w:rsidR="00DA7A79">
        <w:rPr>
          <w:rFonts w:ascii="Times New Roman" w:hAnsi="Times New Roman" w:cs="Times New Roman"/>
          <w:sz w:val="28"/>
          <w:szCs w:val="28"/>
        </w:rPr>
        <w:t xml:space="preserve">асходов), в 2019 году – </w:t>
      </w:r>
      <w:r w:rsidR="009C078B">
        <w:rPr>
          <w:rFonts w:ascii="Times New Roman" w:hAnsi="Times New Roman" w:cs="Times New Roman"/>
          <w:sz w:val="28"/>
          <w:szCs w:val="28"/>
        </w:rPr>
        <w:t>194 496,</w:t>
      </w:r>
      <w:r w:rsidR="009C078B" w:rsidRPr="009C078B">
        <w:rPr>
          <w:rFonts w:ascii="Times New Roman" w:hAnsi="Times New Roman" w:cs="Times New Roman"/>
          <w:sz w:val="28"/>
          <w:szCs w:val="28"/>
        </w:rPr>
        <w:t>4</w:t>
      </w:r>
      <w:r w:rsidRPr="009C078B">
        <w:rPr>
          <w:rFonts w:ascii="Times New Roman" w:hAnsi="Times New Roman" w:cs="Times New Roman"/>
          <w:sz w:val="28"/>
          <w:szCs w:val="28"/>
        </w:rPr>
        <w:t xml:space="preserve"> тыс. руб. (99,</w:t>
      </w:r>
      <w:r w:rsidR="009C078B" w:rsidRPr="009C078B">
        <w:rPr>
          <w:rFonts w:ascii="Times New Roman" w:hAnsi="Times New Roman" w:cs="Times New Roman"/>
          <w:sz w:val="28"/>
          <w:szCs w:val="28"/>
        </w:rPr>
        <w:t>1</w:t>
      </w:r>
      <w:r w:rsidRPr="009C078B">
        <w:rPr>
          <w:rFonts w:ascii="Times New Roman" w:hAnsi="Times New Roman" w:cs="Times New Roman"/>
          <w:sz w:val="28"/>
          <w:szCs w:val="28"/>
        </w:rPr>
        <w:t xml:space="preserve"> % от общего объема расходов), в 2020 году – </w:t>
      </w:r>
      <w:r w:rsidR="009C078B" w:rsidRPr="009C078B">
        <w:rPr>
          <w:rFonts w:ascii="Times New Roman" w:hAnsi="Times New Roman" w:cs="Times New Roman"/>
          <w:sz w:val="28"/>
          <w:szCs w:val="28"/>
        </w:rPr>
        <w:t>1 237 936,5</w:t>
      </w:r>
      <w:r w:rsidRPr="009C078B">
        <w:rPr>
          <w:rFonts w:ascii="Times New Roman" w:hAnsi="Times New Roman" w:cs="Times New Roman"/>
          <w:sz w:val="28"/>
          <w:szCs w:val="28"/>
        </w:rPr>
        <w:t xml:space="preserve"> тыс. руб. (99,2 % от общего объема расходов).</w:t>
      </w:r>
    </w:p>
    <w:p w:rsidR="005870F1" w:rsidRDefault="009C078B" w:rsidP="00437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lastRenderedPageBreak/>
        <w:t xml:space="preserve">Данные об объемах бюджетных </w:t>
      </w:r>
      <w:r w:rsidR="0013064C">
        <w:rPr>
          <w:rFonts w:ascii="Times New Roman" w:hAnsi="Times New Roman" w:cs="Times New Roman"/>
          <w:sz w:val="28"/>
          <w:szCs w:val="28"/>
        </w:rPr>
        <w:t>ассигнований, предусмотренных в П</w:t>
      </w:r>
      <w:r w:rsidRPr="003A15CC">
        <w:rPr>
          <w:rFonts w:ascii="Times New Roman" w:hAnsi="Times New Roman" w:cs="Times New Roman"/>
          <w:sz w:val="28"/>
          <w:szCs w:val="28"/>
        </w:rPr>
        <w:t>роекте на реализацию муниципа</w:t>
      </w:r>
      <w:r w:rsidR="00AD4947">
        <w:rPr>
          <w:rFonts w:ascii="Times New Roman" w:hAnsi="Times New Roman" w:cs="Times New Roman"/>
          <w:sz w:val="28"/>
          <w:szCs w:val="28"/>
        </w:rPr>
        <w:t xml:space="preserve">льных программ, </w:t>
      </w:r>
      <w:r w:rsidR="0013064C">
        <w:rPr>
          <w:rFonts w:ascii="Times New Roman" w:hAnsi="Times New Roman" w:cs="Times New Roman"/>
          <w:sz w:val="28"/>
          <w:szCs w:val="28"/>
        </w:rPr>
        <w:t>представлены в </w:t>
      </w:r>
      <w:r>
        <w:rPr>
          <w:rFonts w:ascii="Times New Roman" w:hAnsi="Times New Roman" w:cs="Times New Roman"/>
          <w:sz w:val="28"/>
          <w:szCs w:val="28"/>
        </w:rPr>
        <w:t>Приложении № 3.</w:t>
      </w:r>
    </w:p>
    <w:p w:rsidR="001A5BE8" w:rsidRDefault="00AD4947" w:rsidP="001A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A5BE8">
        <w:rPr>
          <w:rFonts w:ascii="Times New Roman" w:hAnsi="Times New Roman" w:cs="Times New Roman"/>
          <w:sz w:val="28"/>
          <w:szCs w:val="28"/>
        </w:rPr>
        <w:t xml:space="preserve">уточненным планом 2018 года </w:t>
      </w:r>
      <w:r w:rsidR="00346AF4">
        <w:rPr>
          <w:rFonts w:ascii="Times New Roman" w:hAnsi="Times New Roman" w:cs="Times New Roman"/>
          <w:sz w:val="28"/>
          <w:szCs w:val="28"/>
        </w:rPr>
        <w:t>на реализацию</w:t>
      </w:r>
      <w:r w:rsidR="001A5BE8">
        <w:rPr>
          <w:rFonts w:ascii="Times New Roman" w:hAnsi="Times New Roman" w:cs="Times New Roman"/>
          <w:sz w:val="28"/>
          <w:szCs w:val="28"/>
        </w:rPr>
        <w:t xml:space="preserve"> муниципальных программ в 2019 году</w:t>
      </w:r>
      <w:r w:rsidR="00346AF4">
        <w:rPr>
          <w:rFonts w:ascii="Times New Roman" w:hAnsi="Times New Roman" w:cs="Times New Roman"/>
          <w:sz w:val="28"/>
          <w:szCs w:val="28"/>
        </w:rPr>
        <w:t xml:space="preserve"> в целом расходы предусмотрены ниже на 226 186,7 тыс. руб. или 15,1 %., в том числе:</w:t>
      </w:r>
    </w:p>
    <w:p w:rsidR="001A5BE8" w:rsidRDefault="00346AF4" w:rsidP="001A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1A5BE8">
        <w:rPr>
          <w:rFonts w:ascii="Times New Roman" w:hAnsi="Times New Roman" w:cs="Times New Roman"/>
          <w:sz w:val="28"/>
          <w:szCs w:val="28"/>
        </w:rPr>
        <w:t>8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5BE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A5BE8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5BE8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064C">
        <w:rPr>
          <w:rFonts w:ascii="Times New Roman" w:hAnsi="Times New Roman" w:cs="Times New Roman"/>
          <w:sz w:val="28"/>
          <w:szCs w:val="28"/>
        </w:rPr>
        <w:t xml:space="preserve"> меньше на 2</w:t>
      </w:r>
      <w:r>
        <w:rPr>
          <w:rFonts w:ascii="Times New Roman" w:hAnsi="Times New Roman" w:cs="Times New Roman"/>
          <w:sz w:val="28"/>
          <w:szCs w:val="28"/>
        </w:rPr>
        <w:t xml:space="preserve">29 272,8 </w:t>
      </w:r>
      <w:r w:rsidR="001A5BE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AF4" w:rsidRDefault="00346AF4" w:rsidP="001A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5870F1">
        <w:rPr>
          <w:rFonts w:ascii="Times New Roman" w:hAnsi="Times New Roman" w:cs="Times New Roman"/>
          <w:sz w:val="28"/>
          <w:szCs w:val="28"/>
        </w:rPr>
        <w:t xml:space="preserve">3муниципальным программам </w:t>
      </w:r>
      <w:r w:rsidR="0013064C">
        <w:rPr>
          <w:rFonts w:ascii="Times New Roman" w:hAnsi="Times New Roman" w:cs="Times New Roman"/>
          <w:sz w:val="28"/>
          <w:szCs w:val="28"/>
        </w:rPr>
        <w:t>расходы предусмотрены больше на </w:t>
      </w:r>
      <w:r w:rsidR="005870F1">
        <w:rPr>
          <w:rFonts w:ascii="Times New Roman" w:hAnsi="Times New Roman" w:cs="Times New Roman"/>
          <w:sz w:val="28"/>
          <w:szCs w:val="28"/>
        </w:rPr>
        <w:t>3 086,1 тыс. рублей.</w:t>
      </w:r>
    </w:p>
    <w:p w:rsidR="00106802" w:rsidRPr="00F47B29" w:rsidRDefault="00106802" w:rsidP="00713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5CC">
        <w:rPr>
          <w:rFonts w:ascii="Times New Roman" w:hAnsi="Times New Roman" w:cs="Times New Roman"/>
          <w:sz w:val="28"/>
          <w:szCs w:val="28"/>
        </w:rPr>
        <w:tab/>
      </w:r>
    </w:p>
    <w:p w:rsidR="00A83324" w:rsidRDefault="00A83324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83324">
        <w:rPr>
          <w:rFonts w:ascii="Times New Roman" w:hAnsi="Times New Roman" w:cs="Times New Roman"/>
          <w:bCs/>
          <w:sz w:val="28"/>
          <w:szCs w:val="28"/>
        </w:rPr>
        <w:t xml:space="preserve">роектом на 2019 год и плановый период </w:t>
      </w:r>
      <w:r>
        <w:rPr>
          <w:rFonts w:ascii="Times New Roman" w:hAnsi="Times New Roman" w:cs="Times New Roman"/>
          <w:bCs/>
          <w:sz w:val="28"/>
          <w:szCs w:val="28"/>
        </w:rPr>
        <w:t>2020 и 2021</w:t>
      </w:r>
      <w:r w:rsidRPr="00A83324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на реализацию муниципальных программ предусмотрен ниже объема бюджетных ассигнований, предусмотренных паспортами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, что не соответствует</w:t>
      </w:r>
      <w:r w:rsidRPr="00A83324">
        <w:rPr>
          <w:rFonts w:ascii="Times New Roman" w:hAnsi="Times New Roman" w:cs="Times New Roman"/>
          <w:bCs/>
          <w:sz w:val="28"/>
          <w:szCs w:val="28"/>
        </w:rPr>
        <w:t xml:space="preserve"> ч. 2 ст. 179 БК</w:t>
      </w:r>
      <w:r w:rsidR="00AD4947">
        <w:rPr>
          <w:rFonts w:ascii="Times New Roman" w:hAnsi="Times New Roman" w:cs="Times New Roman"/>
          <w:bCs/>
          <w:sz w:val="28"/>
          <w:szCs w:val="28"/>
        </w:rPr>
        <w:t> </w:t>
      </w:r>
      <w:r w:rsidRPr="00A83324">
        <w:rPr>
          <w:rFonts w:ascii="Times New Roman" w:hAnsi="Times New Roman" w:cs="Times New Roman"/>
          <w:bCs/>
          <w:sz w:val="28"/>
          <w:szCs w:val="28"/>
        </w:rPr>
        <w:t>РФ</w:t>
      </w:r>
      <w:r w:rsidR="0092722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Расхождения имеются по</w:t>
      </w:r>
      <w:r w:rsidR="00AD4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225">
        <w:rPr>
          <w:rFonts w:ascii="Times New Roman" w:hAnsi="Times New Roman" w:cs="Times New Roman"/>
          <w:bCs/>
          <w:sz w:val="28"/>
          <w:szCs w:val="28"/>
        </w:rPr>
        <w:t>четыре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927225">
        <w:rPr>
          <w:rFonts w:ascii="Times New Roman" w:hAnsi="Times New Roman" w:cs="Times New Roman"/>
          <w:bCs/>
          <w:sz w:val="28"/>
          <w:szCs w:val="28"/>
        </w:rPr>
        <w:t>:</w:t>
      </w:r>
    </w:p>
    <w:p w:rsidR="00927225" w:rsidRDefault="00927225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6802" w:rsidRPr="003A15CC">
        <w:rPr>
          <w:rFonts w:ascii="Times New Roman" w:hAnsi="Times New Roman" w:cs="Times New Roman"/>
          <w:sz w:val="28"/>
          <w:szCs w:val="28"/>
        </w:rPr>
        <w:t>«Развитие и обеспечение эффективности деятельности администрации городского округа Красноуфимск в 2014-202</w:t>
      </w:r>
      <w:r>
        <w:rPr>
          <w:rFonts w:ascii="Times New Roman" w:hAnsi="Times New Roman" w:cs="Times New Roman"/>
          <w:sz w:val="28"/>
          <w:szCs w:val="28"/>
        </w:rPr>
        <w:t>4 годах»;</w:t>
      </w:r>
    </w:p>
    <w:p w:rsidR="00927225" w:rsidRDefault="00927225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6802" w:rsidRPr="003A15CC"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Красноуфимск» на 2016-2022 годы;</w:t>
      </w:r>
    </w:p>
    <w:p w:rsidR="00927225" w:rsidRDefault="00927225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947">
        <w:rPr>
          <w:rFonts w:ascii="Times New Roman" w:hAnsi="Times New Roman" w:cs="Times New Roman"/>
          <w:sz w:val="28"/>
          <w:szCs w:val="28"/>
        </w:rPr>
        <w:t> </w:t>
      </w:r>
      <w:r w:rsidR="00106802" w:rsidRPr="003A15CC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городского округа Красноуфимск» на 2016-2022 годы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6802" w:rsidRDefault="00927225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«Формирование современной городской среды на территории городского округа Красноуфимск на 2018-2022».</w:t>
      </w:r>
    </w:p>
    <w:p w:rsidR="00C04DA9" w:rsidRPr="00C04DA9" w:rsidRDefault="00C04DA9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30A0F" w:rsidRDefault="00C04DA9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0A0F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AD4947">
        <w:rPr>
          <w:rFonts w:ascii="Times New Roman" w:hAnsi="Times New Roman" w:cs="Times New Roman"/>
          <w:bCs/>
          <w:sz w:val="28"/>
          <w:szCs w:val="28"/>
        </w:rPr>
        <w:t xml:space="preserve">внепрограммные расходы </w:t>
      </w:r>
      <w:r w:rsidR="0013064C">
        <w:rPr>
          <w:rFonts w:ascii="Times New Roman" w:hAnsi="Times New Roman" w:cs="Times New Roman"/>
          <w:bCs/>
          <w:sz w:val="28"/>
          <w:szCs w:val="28"/>
        </w:rPr>
        <w:t>в общем объе</w:t>
      </w:r>
      <w:r w:rsidR="009A4D7D">
        <w:rPr>
          <w:rFonts w:ascii="Times New Roman" w:hAnsi="Times New Roman" w:cs="Times New Roman"/>
          <w:bCs/>
          <w:sz w:val="28"/>
          <w:szCs w:val="28"/>
        </w:rPr>
        <w:t>ме на 2019 год в размере 8 758,0 </w:t>
      </w:r>
      <w:r w:rsidR="0013064C">
        <w:rPr>
          <w:rFonts w:ascii="Times New Roman" w:hAnsi="Times New Roman" w:cs="Times New Roman"/>
          <w:bCs/>
          <w:sz w:val="28"/>
          <w:szCs w:val="28"/>
        </w:rPr>
        <w:t>тыс. руб., 2020 год – 10 208,2 тыс. руб., 2021 год – 9563,2 тыс. руб</w:t>
      </w:r>
      <w:r w:rsidR="00AD4947">
        <w:rPr>
          <w:rFonts w:ascii="Times New Roman" w:hAnsi="Times New Roman" w:cs="Times New Roman"/>
          <w:bCs/>
          <w:sz w:val="28"/>
          <w:szCs w:val="28"/>
        </w:rPr>
        <w:t>.</w:t>
      </w:r>
      <w:r w:rsidR="00130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A0F">
        <w:rPr>
          <w:rFonts w:ascii="Times New Roman" w:hAnsi="Times New Roman" w:cs="Times New Roman"/>
          <w:bCs/>
          <w:sz w:val="28"/>
          <w:szCs w:val="28"/>
        </w:rPr>
        <w:t>на</w:t>
      </w:r>
      <w:r w:rsidR="00AD4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A0F">
        <w:rPr>
          <w:rFonts w:ascii="Times New Roman" w:hAnsi="Times New Roman" w:cs="Times New Roman"/>
          <w:bCs/>
          <w:sz w:val="28"/>
          <w:szCs w:val="28"/>
        </w:rPr>
        <w:t>Резервный фонд Администрации городского округа Красноуфимск</w:t>
      </w:r>
      <w:r w:rsidR="00AD49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0A0F">
        <w:rPr>
          <w:rFonts w:ascii="Times New Roman" w:hAnsi="Times New Roman" w:cs="Times New Roman"/>
          <w:bCs/>
          <w:sz w:val="28"/>
          <w:szCs w:val="28"/>
        </w:rPr>
        <w:t>на обеспечение деятельности Думы городского округа Красноуфимск и Ревизионной комиссии городского округа Красноуфимск.</w:t>
      </w:r>
    </w:p>
    <w:p w:rsidR="00106802" w:rsidRPr="00613DBE" w:rsidRDefault="00106802" w:rsidP="00106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A5BE8" w:rsidRPr="003A15CC" w:rsidRDefault="001A5BE8" w:rsidP="001A5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BE">
        <w:rPr>
          <w:rFonts w:ascii="Times New Roman" w:hAnsi="Times New Roman" w:cs="Times New Roman"/>
          <w:sz w:val="28"/>
          <w:szCs w:val="28"/>
        </w:rPr>
        <w:t>В соответствии с приложениями 15, 16 к Проекту планируется предоставить муниципальные гарантии без права регрессного требования предприятиям жилищно-коммунал</w:t>
      </w:r>
      <w:r w:rsidR="0013064C">
        <w:rPr>
          <w:rFonts w:ascii="Times New Roman" w:hAnsi="Times New Roman" w:cs="Times New Roman"/>
          <w:sz w:val="28"/>
          <w:szCs w:val="28"/>
        </w:rPr>
        <w:t>ьного комплекса для расчетов за </w:t>
      </w:r>
      <w:r w:rsidRPr="00613DBE">
        <w:rPr>
          <w:rFonts w:ascii="Times New Roman" w:hAnsi="Times New Roman" w:cs="Times New Roman"/>
          <w:sz w:val="28"/>
          <w:szCs w:val="28"/>
        </w:rPr>
        <w:t>топливно-энергетические ресурсы в 201</w:t>
      </w:r>
      <w:r w:rsidR="00613DBE" w:rsidRPr="00613DBE">
        <w:rPr>
          <w:rFonts w:ascii="Times New Roman" w:hAnsi="Times New Roman" w:cs="Times New Roman"/>
          <w:sz w:val="28"/>
          <w:szCs w:val="28"/>
        </w:rPr>
        <w:t>9</w:t>
      </w:r>
      <w:r w:rsidRPr="00613DBE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613DBE" w:rsidRPr="00613DBE">
        <w:rPr>
          <w:rFonts w:ascii="Times New Roman" w:hAnsi="Times New Roman" w:cs="Times New Roman"/>
          <w:sz w:val="28"/>
          <w:szCs w:val="28"/>
        </w:rPr>
        <w:t>10 606,3</w:t>
      </w:r>
      <w:r w:rsidRPr="00613DB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613DBE" w:rsidRPr="00613DBE">
        <w:rPr>
          <w:rFonts w:ascii="Times New Roman" w:hAnsi="Times New Roman" w:cs="Times New Roman"/>
          <w:sz w:val="28"/>
          <w:szCs w:val="28"/>
        </w:rPr>
        <w:t>20</w:t>
      </w:r>
      <w:r w:rsidRPr="00613DB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3DBE" w:rsidRPr="00613DBE">
        <w:rPr>
          <w:rFonts w:ascii="Times New Roman" w:hAnsi="Times New Roman" w:cs="Times New Roman"/>
          <w:sz w:val="28"/>
          <w:szCs w:val="28"/>
        </w:rPr>
        <w:t>14 985,5 тыс. руб., в 2021</w:t>
      </w:r>
      <w:r w:rsidRPr="00613DB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3DBE" w:rsidRPr="00613DBE">
        <w:rPr>
          <w:rFonts w:ascii="Times New Roman" w:hAnsi="Times New Roman" w:cs="Times New Roman"/>
          <w:sz w:val="28"/>
          <w:szCs w:val="28"/>
        </w:rPr>
        <w:t>11 574,9</w:t>
      </w:r>
      <w:r w:rsidRPr="00613D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5BE8" w:rsidRPr="0013064C" w:rsidRDefault="001A5BE8" w:rsidP="00106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3DBE" w:rsidRDefault="00106802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5CC">
        <w:rPr>
          <w:rFonts w:ascii="Times New Roman" w:hAnsi="Times New Roman" w:cs="Times New Roman"/>
          <w:bCs/>
          <w:sz w:val="28"/>
          <w:szCs w:val="28"/>
        </w:rPr>
        <w:t>В расходной части Проекта предусмотрено формирование резервного фонда администрации городского округа Красноуфимск</w:t>
      </w:r>
      <w:r w:rsidR="00613DBE">
        <w:rPr>
          <w:rFonts w:ascii="Times New Roman" w:hAnsi="Times New Roman" w:cs="Times New Roman"/>
          <w:bCs/>
          <w:sz w:val="28"/>
          <w:szCs w:val="28"/>
        </w:rPr>
        <w:t>:</w:t>
      </w:r>
    </w:p>
    <w:p w:rsidR="00321099" w:rsidRDefault="00613DBE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47B29">
        <w:rPr>
          <w:rFonts w:ascii="Times New Roman" w:hAnsi="Times New Roman" w:cs="Times New Roman"/>
          <w:bCs/>
          <w:sz w:val="28"/>
          <w:szCs w:val="28"/>
        </w:rPr>
        <w:t> 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06802" w:rsidRPr="003A15C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893187">
        <w:rPr>
          <w:rFonts w:ascii="Times New Roman" w:eastAsia="Times New Roman" w:hAnsi="Times New Roman" w:cs="Times New Roman"/>
          <w:sz w:val="28"/>
          <w:szCs w:val="28"/>
        </w:rPr>
        <w:t>в сумме 2 065,1 тыс. руб</w:t>
      </w:r>
      <w:r w:rsidRPr="00893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="00321099">
        <w:rPr>
          <w:rFonts w:ascii="Times New Roman" w:hAnsi="Times New Roman" w:cs="Times New Roman"/>
          <w:sz w:val="28"/>
          <w:szCs w:val="28"/>
        </w:rPr>
        <w:t>0,2 %</w:t>
      </w:r>
      <w:r w:rsidR="00321099" w:rsidRPr="003A15CC">
        <w:rPr>
          <w:rFonts w:ascii="Times New Roman" w:hAnsi="Times New Roman" w:cs="Times New Roman"/>
          <w:bCs/>
          <w:sz w:val="28"/>
          <w:szCs w:val="28"/>
        </w:rPr>
        <w:t>общего объема расходов</w:t>
      </w:r>
      <w:r w:rsidR="00321099">
        <w:rPr>
          <w:rFonts w:ascii="Times New Roman" w:hAnsi="Times New Roman" w:cs="Times New Roman"/>
          <w:bCs/>
          <w:sz w:val="28"/>
          <w:szCs w:val="28"/>
        </w:rPr>
        <w:t>;</w:t>
      </w:r>
    </w:p>
    <w:p w:rsidR="00321099" w:rsidRDefault="00F47B29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3DBE" w:rsidRPr="00893187">
        <w:rPr>
          <w:rFonts w:ascii="Times New Roman" w:hAnsi="Times New Roman" w:cs="Times New Roman"/>
          <w:sz w:val="28"/>
          <w:szCs w:val="28"/>
        </w:rPr>
        <w:t>на 2020</w:t>
      </w:r>
      <w:r w:rsidR="00613DBE" w:rsidRPr="0089318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613DBE" w:rsidRPr="00893187">
        <w:rPr>
          <w:rFonts w:ascii="Times New Roman" w:hAnsi="Times New Roman" w:cs="Times New Roman"/>
          <w:sz w:val="28"/>
          <w:szCs w:val="28"/>
        </w:rPr>
        <w:t>д – 3 165,3 тыс. руб.</w:t>
      </w:r>
      <w:r w:rsidR="00321099">
        <w:rPr>
          <w:rFonts w:ascii="Times New Roman" w:hAnsi="Times New Roman" w:cs="Times New Roman"/>
          <w:sz w:val="28"/>
          <w:szCs w:val="28"/>
        </w:rPr>
        <w:t xml:space="preserve"> или  0,3 %</w:t>
      </w:r>
      <w:r w:rsidR="00321099" w:rsidRPr="003A15CC">
        <w:rPr>
          <w:rFonts w:ascii="Times New Roman" w:hAnsi="Times New Roman" w:cs="Times New Roman"/>
          <w:bCs/>
          <w:sz w:val="28"/>
          <w:szCs w:val="28"/>
        </w:rPr>
        <w:t>общего объема расходов</w:t>
      </w:r>
      <w:r w:rsidR="00321099">
        <w:rPr>
          <w:rFonts w:ascii="Times New Roman" w:hAnsi="Times New Roman" w:cs="Times New Roman"/>
          <w:bCs/>
          <w:sz w:val="28"/>
          <w:szCs w:val="28"/>
        </w:rPr>
        <w:t>;</w:t>
      </w:r>
    </w:p>
    <w:p w:rsidR="00321099" w:rsidRDefault="00F47B29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3DBE" w:rsidRPr="00893187">
        <w:rPr>
          <w:rFonts w:ascii="Times New Roman" w:hAnsi="Times New Roman" w:cs="Times New Roman"/>
          <w:sz w:val="28"/>
          <w:szCs w:val="28"/>
        </w:rPr>
        <w:t xml:space="preserve">на 2021 год – 2 251,9 </w:t>
      </w:r>
      <w:r w:rsidR="00613DBE" w:rsidRPr="0089318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210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099">
        <w:rPr>
          <w:rFonts w:ascii="Times New Roman" w:hAnsi="Times New Roman" w:cs="Times New Roman"/>
          <w:sz w:val="28"/>
          <w:szCs w:val="28"/>
        </w:rPr>
        <w:t>или  0,2 %</w:t>
      </w:r>
      <w:r w:rsidR="00321099" w:rsidRPr="003A15CC">
        <w:rPr>
          <w:rFonts w:ascii="Times New Roman" w:hAnsi="Times New Roman" w:cs="Times New Roman"/>
          <w:bCs/>
          <w:sz w:val="28"/>
          <w:szCs w:val="28"/>
        </w:rPr>
        <w:t>общего объема расходов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6802" w:rsidRPr="003A15CC" w:rsidRDefault="00106802" w:rsidP="00106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5CC">
        <w:rPr>
          <w:rFonts w:ascii="Times New Roman" w:hAnsi="Times New Roman" w:cs="Times New Roman"/>
          <w:bCs/>
          <w:sz w:val="28"/>
          <w:szCs w:val="28"/>
        </w:rPr>
        <w:t>Предлагаемый к установлению размер резервного фонда соответствует требованиям ст. 81 Б</w:t>
      </w:r>
      <w:r w:rsidR="00613DBE">
        <w:rPr>
          <w:rFonts w:ascii="Times New Roman" w:hAnsi="Times New Roman" w:cs="Times New Roman"/>
          <w:bCs/>
          <w:sz w:val="28"/>
          <w:szCs w:val="28"/>
        </w:rPr>
        <w:t>К</w:t>
      </w:r>
      <w:r w:rsidR="00321099">
        <w:rPr>
          <w:rFonts w:ascii="Times New Roman" w:hAnsi="Times New Roman" w:cs="Times New Roman"/>
          <w:bCs/>
          <w:sz w:val="28"/>
          <w:szCs w:val="28"/>
        </w:rPr>
        <w:t xml:space="preserve"> РФ (не может превышать 3 % утвержденного решением общего объема расходов).</w:t>
      </w:r>
    </w:p>
    <w:p w:rsidR="00613DBE" w:rsidRPr="00F47B29" w:rsidRDefault="00613DBE" w:rsidP="001068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06802" w:rsidRDefault="00106802" w:rsidP="00DF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3D18">
        <w:rPr>
          <w:rFonts w:ascii="Times New Roman" w:hAnsi="Times New Roman" w:cs="Times New Roman"/>
          <w:sz w:val="28"/>
          <w:szCs w:val="28"/>
        </w:rPr>
        <w:lastRenderedPageBreak/>
        <w:t>Дефицит бюджета и источники финансирования дефицита бюджета</w:t>
      </w:r>
    </w:p>
    <w:p w:rsidR="00C03D18" w:rsidRPr="00C03D18" w:rsidRDefault="00C03D18" w:rsidP="00DF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06802" w:rsidRPr="0010487B" w:rsidRDefault="00106802" w:rsidP="00106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7B">
        <w:rPr>
          <w:rFonts w:ascii="Times New Roman" w:hAnsi="Times New Roman" w:cs="Times New Roman"/>
          <w:sz w:val="28"/>
          <w:szCs w:val="28"/>
        </w:rPr>
        <w:t>Предлагаемый размер дефицита не превышает допустимый предел размера дефицита, установленный статьей 92.1 БК РФ.</w:t>
      </w:r>
    </w:p>
    <w:p w:rsidR="00106802" w:rsidRPr="0010487B" w:rsidRDefault="00106802" w:rsidP="00106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7B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A950BC">
        <w:rPr>
          <w:rFonts w:ascii="Times New Roman" w:hAnsi="Times New Roman" w:cs="Times New Roman"/>
          <w:sz w:val="28"/>
          <w:szCs w:val="28"/>
        </w:rPr>
        <w:t xml:space="preserve"> </w:t>
      </w:r>
      <w:r w:rsidRPr="0010487B">
        <w:rPr>
          <w:rFonts w:ascii="Times New Roman" w:hAnsi="Times New Roman" w:cs="Times New Roman"/>
          <w:sz w:val="28"/>
          <w:szCs w:val="28"/>
        </w:rPr>
        <w:t>№</w:t>
      </w:r>
      <w:r w:rsidR="006F3657" w:rsidRPr="0010487B">
        <w:rPr>
          <w:rFonts w:ascii="Times New Roman" w:hAnsi="Times New Roman" w:cs="Times New Roman"/>
          <w:sz w:val="28"/>
          <w:szCs w:val="28"/>
        </w:rPr>
        <w:t> </w:t>
      </w:r>
      <w:r w:rsidRPr="0010487B">
        <w:rPr>
          <w:rFonts w:ascii="Times New Roman" w:hAnsi="Times New Roman" w:cs="Times New Roman"/>
          <w:sz w:val="28"/>
          <w:szCs w:val="28"/>
        </w:rPr>
        <w:t>17, №</w:t>
      </w:r>
      <w:r w:rsidR="006F3657" w:rsidRPr="0010487B">
        <w:rPr>
          <w:rFonts w:ascii="Times New Roman" w:hAnsi="Times New Roman" w:cs="Times New Roman"/>
          <w:sz w:val="28"/>
          <w:szCs w:val="28"/>
        </w:rPr>
        <w:t> </w:t>
      </w:r>
      <w:r w:rsidRPr="0010487B">
        <w:rPr>
          <w:rFonts w:ascii="Times New Roman" w:hAnsi="Times New Roman" w:cs="Times New Roman"/>
          <w:sz w:val="28"/>
          <w:szCs w:val="28"/>
        </w:rPr>
        <w:t>18 к Проекту источники финансирования дефицита  бюджета предусмотрены в 201</w:t>
      </w:r>
      <w:r w:rsidR="006F3657" w:rsidRPr="0010487B">
        <w:rPr>
          <w:rFonts w:ascii="Times New Roman" w:hAnsi="Times New Roman" w:cs="Times New Roman"/>
          <w:sz w:val="28"/>
          <w:szCs w:val="28"/>
        </w:rPr>
        <w:t>9</w:t>
      </w:r>
      <w:r w:rsidR="00A950BC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6F3657" w:rsidRPr="0010487B">
        <w:rPr>
          <w:rFonts w:ascii="Times New Roman" w:hAnsi="Times New Roman" w:cs="Times New Roman"/>
          <w:sz w:val="28"/>
          <w:szCs w:val="28"/>
        </w:rPr>
        <w:t xml:space="preserve">22 964,2 </w:t>
      </w:r>
      <w:r w:rsidR="00A950BC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10487B">
        <w:rPr>
          <w:rFonts w:ascii="Times New Roman" w:hAnsi="Times New Roman" w:cs="Times New Roman"/>
          <w:sz w:val="28"/>
          <w:szCs w:val="28"/>
        </w:rPr>
        <w:t>в 20</w:t>
      </w:r>
      <w:r w:rsidR="006F3657" w:rsidRPr="0010487B">
        <w:rPr>
          <w:rFonts w:ascii="Times New Roman" w:hAnsi="Times New Roman" w:cs="Times New Roman"/>
          <w:sz w:val="28"/>
          <w:szCs w:val="28"/>
        </w:rPr>
        <w:t>20</w:t>
      </w:r>
      <w:r w:rsidRPr="001048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3657" w:rsidRPr="0010487B">
        <w:rPr>
          <w:rFonts w:ascii="Times New Roman" w:hAnsi="Times New Roman" w:cs="Times New Roman"/>
          <w:sz w:val="28"/>
          <w:szCs w:val="28"/>
        </w:rPr>
        <w:t xml:space="preserve">–15 309,0 </w:t>
      </w:r>
      <w:r w:rsidR="00A950BC">
        <w:rPr>
          <w:rFonts w:ascii="Times New Roman" w:hAnsi="Times New Roman" w:cs="Times New Roman"/>
          <w:sz w:val="28"/>
          <w:szCs w:val="28"/>
        </w:rPr>
        <w:t xml:space="preserve">тыс. руб., в </w:t>
      </w:r>
      <w:r w:rsidRPr="0010487B">
        <w:rPr>
          <w:rFonts w:ascii="Times New Roman" w:hAnsi="Times New Roman" w:cs="Times New Roman"/>
          <w:sz w:val="28"/>
          <w:szCs w:val="28"/>
        </w:rPr>
        <w:t>202</w:t>
      </w:r>
      <w:r w:rsidR="006F3657" w:rsidRPr="0010487B">
        <w:rPr>
          <w:rFonts w:ascii="Times New Roman" w:hAnsi="Times New Roman" w:cs="Times New Roman"/>
          <w:sz w:val="28"/>
          <w:szCs w:val="28"/>
        </w:rPr>
        <w:t>1</w:t>
      </w:r>
      <w:r w:rsidRPr="001048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3657" w:rsidRPr="0010487B">
        <w:rPr>
          <w:rFonts w:ascii="Times New Roman" w:hAnsi="Times New Roman" w:cs="Times New Roman"/>
          <w:sz w:val="28"/>
          <w:szCs w:val="28"/>
        </w:rPr>
        <w:t>–7 654,0 </w:t>
      </w:r>
      <w:r w:rsidR="00A950BC">
        <w:rPr>
          <w:rFonts w:ascii="Times New Roman" w:hAnsi="Times New Roman" w:cs="Times New Roman"/>
          <w:sz w:val="28"/>
          <w:szCs w:val="28"/>
        </w:rPr>
        <w:t>тыс. </w:t>
      </w:r>
      <w:r w:rsidRPr="0010487B">
        <w:rPr>
          <w:rFonts w:ascii="Times New Roman" w:hAnsi="Times New Roman" w:cs="Times New Roman"/>
          <w:sz w:val="28"/>
          <w:szCs w:val="28"/>
        </w:rPr>
        <w:t>руб.</w:t>
      </w:r>
    </w:p>
    <w:p w:rsidR="006F3657" w:rsidRPr="0010487B" w:rsidRDefault="006F3657" w:rsidP="00C0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0685" w:rsidRPr="0010487B" w:rsidRDefault="00106802" w:rsidP="00C0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7B">
        <w:rPr>
          <w:rFonts w:ascii="Times New Roman" w:hAnsi="Times New Roman" w:cs="Times New Roman"/>
          <w:sz w:val="28"/>
          <w:szCs w:val="28"/>
        </w:rPr>
        <w:t xml:space="preserve">Динамика и структура источников финансирования дефицита бюджета </w:t>
      </w:r>
      <w:r w:rsidR="00B14A08" w:rsidRPr="0010487B">
        <w:rPr>
          <w:rFonts w:ascii="Times New Roman" w:hAnsi="Times New Roman" w:cs="Times New Roman"/>
          <w:sz w:val="28"/>
          <w:szCs w:val="28"/>
        </w:rPr>
        <w:t xml:space="preserve">за </w:t>
      </w:r>
      <w:r w:rsidRPr="0010487B">
        <w:rPr>
          <w:rFonts w:ascii="Times New Roman" w:hAnsi="Times New Roman" w:cs="Times New Roman"/>
          <w:sz w:val="28"/>
          <w:szCs w:val="28"/>
        </w:rPr>
        <w:t xml:space="preserve"> 201</w:t>
      </w:r>
      <w:r w:rsidR="00B14A08" w:rsidRPr="0010487B">
        <w:rPr>
          <w:rFonts w:ascii="Times New Roman" w:hAnsi="Times New Roman" w:cs="Times New Roman"/>
          <w:sz w:val="28"/>
          <w:szCs w:val="28"/>
        </w:rPr>
        <w:t>8</w:t>
      </w:r>
      <w:r w:rsidRPr="0010487B">
        <w:rPr>
          <w:rFonts w:ascii="Times New Roman" w:hAnsi="Times New Roman" w:cs="Times New Roman"/>
          <w:sz w:val="28"/>
          <w:szCs w:val="28"/>
        </w:rPr>
        <w:t xml:space="preserve"> – 202</w:t>
      </w:r>
      <w:r w:rsidR="00B14A08" w:rsidRPr="0010487B">
        <w:rPr>
          <w:rFonts w:ascii="Times New Roman" w:hAnsi="Times New Roman" w:cs="Times New Roman"/>
          <w:sz w:val="28"/>
          <w:szCs w:val="28"/>
        </w:rPr>
        <w:t>1</w:t>
      </w:r>
      <w:r w:rsidRPr="0010487B">
        <w:rPr>
          <w:rFonts w:ascii="Times New Roman" w:hAnsi="Times New Roman" w:cs="Times New Roman"/>
          <w:sz w:val="28"/>
          <w:szCs w:val="28"/>
        </w:rPr>
        <w:t xml:space="preserve"> год</w:t>
      </w:r>
      <w:r w:rsidR="00B14A08" w:rsidRPr="0010487B">
        <w:rPr>
          <w:rFonts w:ascii="Times New Roman" w:hAnsi="Times New Roman" w:cs="Times New Roman"/>
          <w:sz w:val="28"/>
          <w:szCs w:val="28"/>
        </w:rPr>
        <w:t xml:space="preserve">ы, втыс. руб. </w:t>
      </w:r>
      <w:r w:rsidRPr="0010487B">
        <w:rPr>
          <w:rFonts w:ascii="Times New Roman" w:hAnsi="Times New Roman" w:cs="Times New Roman"/>
          <w:sz w:val="28"/>
          <w:szCs w:val="28"/>
        </w:rPr>
        <w:t xml:space="preserve">отражена в таблице </w:t>
      </w:r>
      <w:r w:rsidR="009A4D7D" w:rsidRPr="0010487B">
        <w:rPr>
          <w:rFonts w:ascii="Times New Roman" w:hAnsi="Times New Roman" w:cs="Times New Roman"/>
          <w:sz w:val="28"/>
          <w:szCs w:val="28"/>
        </w:rPr>
        <w:t>№ 9</w:t>
      </w:r>
      <w:r w:rsidR="00A950BC">
        <w:rPr>
          <w:rFonts w:ascii="Times New Roman" w:hAnsi="Times New Roman" w:cs="Times New Roman"/>
          <w:sz w:val="28"/>
          <w:szCs w:val="28"/>
        </w:rPr>
        <w:t>.</w:t>
      </w:r>
      <w:r w:rsidRPr="0010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02" w:rsidRPr="0010487B" w:rsidRDefault="00106802" w:rsidP="00106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487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4D7D" w:rsidRPr="0010487B">
        <w:rPr>
          <w:rFonts w:ascii="Times New Roman" w:hAnsi="Times New Roman" w:cs="Times New Roman"/>
          <w:sz w:val="28"/>
          <w:szCs w:val="28"/>
        </w:rPr>
        <w:t>№ 9</w:t>
      </w:r>
    </w:p>
    <w:tbl>
      <w:tblPr>
        <w:tblStyle w:val="a3"/>
        <w:tblW w:w="9509" w:type="dxa"/>
        <w:tblLook w:val="04A0"/>
      </w:tblPr>
      <w:tblGrid>
        <w:gridCol w:w="2802"/>
        <w:gridCol w:w="1559"/>
        <w:gridCol w:w="1449"/>
        <w:gridCol w:w="1264"/>
        <w:gridCol w:w="1264"/>
        <w:gridCol w:w="1171"/>
      </w:tblGrid>
      <w:tr w:rsidR="005B0058" w:rsidRPr="0010487B" w:rsidTr="005B0058">
        <w:trPr>
          <w:trHeight w:val="244"/>
        </w:trPr>
        <w:tc>
          <w:tcPr>
            <w:tcW w:w="2802" w:type="dxa"/>
            <w:vMerge w:val="restart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b/>
                <w:sz w:val="16"/>
                <w:szCs w:val="16"/>
              </w:rPr>
              <w:t>Вид источников</w:t>
            </w:r>
          </w:p>
        </w:tc>
        <w:tc>
          <w:tcPr>
            <w:tcW w:w="1559" w:type="dxa"/>
            <w:vMerge w:val="restart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Уточненный план на 18.10.2018</w:t>
            </w:r>
          </w:p>
        </w:tc>
        <w:tc>
          <w:tcPr>
            <w:tcW w:w="1449" w:type="dxa"/>
            <w:vMerge w:val="restart"/>
            <w:vAlign w:val="center"/>
          </w:tcPr>
          <w:p w:rsidR="005B0058" w:rsidRPr="0010487B" w:rsidRDefault="005B0058" w:rsidP="00C03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b/>
                <w:sz w:val="16"/>
                <w:szCs w:val="16"/>
              </w:rPr>
              <w:t>Ожидаемое исполнение 2018 года</w:t>
            </w:r>
          </w:p>
        </w:tc>
        <w:tc>
          <w:tcPr>
            <w:tcW w:w="3699" w:type="dxa"/>
            <w:gridSpan w:val="3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b/>
                <w:sz w:val="16"/>
                <w:szCs w:val="16"/>
              </w:rPr>
              <w:t>Проект</w:t>
            </w:r>
          </w:p>
        </w:tc>
      </w:tr>
      <w:tr w:rsidR="005B0058" w:rsidRPr="0010487B" w:rsidTr="005B0058">
        <w:trPr>
          <w:trHeight w:val="146"/>
        </w:trPr>
        <w:tc>
          <w:tcPr>
            <w:tcW w:w="2802" w:type="dxa"/>
            <w:vMerge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9" w:type="dxa"/>
            <w:vMerge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5B0058" w:rsidRPr="0010487B" w:rsidRDefault="005B0058" w:rsidP="00C03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b/>
                <w:sz w:val="16"/>
                <w:szCs w:val="16"/>
              </w:rPr>
              <w:t>2019 год</w:t>
            </w:r>
          </w:p>
        </w:tc>
        <w:tc>
          <w:tcPr>
            <w:tcW w:w="1264" w:type="dxa"/>
            <w:vAlign w:val="center"/>
          </w:tcPr>
          <w:p w:rsidR="005B0058" w:rsidRPr="0010487B" w:rsidRDefault="005B0058" w:rsidP="00C03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1171" w:type="dxa"/>
            <w:vAlign w:val="center"/>
          </w:tcPr>
          <w:p w:rsidR="005B0058" w:rsidRPr="0010487B" w:rsidRDefault="005B0058" w:rsidP="00C03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b/>
                <w:sz w:val="16"/>
                <w:szCs w:val="16"/>
              </w:rPr>
              <w:t>2021 год</w:t>
            </w:r>
          </w:p>
        </w:tc>
      </w:tr>
      <w:tr w:rsidR="005B0058" w:rsidRPr="0010487B" w:rsidTr="009A4D7D">
        <w:trPr>
          <w:trHeight w:val="211"/>
        </w:trPr>
        <w:tc>
          <w:tcPr>
            <w:tcW w:w="2802" w:type="dxa"/>
          </w:tcPr>
          <w:p w:rsidR="005B0058" w:rsidRPr="0010487B" w:rsidRDefault="005B0058" w:rsidP="005B0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59" w:type="dxa"/>
            <w:vAlign w:val="center"/>
          </w:tcPr>
          <w:p w:rsidR="005B0058" w:rsidRPr="0010487B" w:rsidRDefault="005B0058" w:rsidP="005B0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8 000,0</w:t>
            </w:r>
          </w:p>
        </w:tc>
        <w:tc>
          <w:tcPr>
            <w:tcW w:w="1449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8 000,0</w:t>
            </w:r>
          </w:p>
        </w:tc>
        <w:tc>
          <w:tcPr>
            <w:tcW w:w="1264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64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-13 000,0</w:t>
            </w:r>
          </w:p>
        </w:tc>
        <w:tc>
          <w:tcPr>
            <w:tcW w:w="1171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0058" w:rsidRPr="0010487B" w:rsidTr="009A4D7D">
        <w:trPr>
          <w:trHeight w:val="414"/>
        </w:trPr>
        <w:tc>
          <w:tcPr>
            <w:tcW w:w="2802" w:type="dxa"/>
          </w:tcPr>
          <w:p w:rsidR="005B0058" w:rsidRPr="0010487B" w:rsidRDefault="005B0058" w:rsidP="005B0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</w:t>
            </w:r>
          </w:p>
        </w:tc>
        <w:tc>
          <w:tcPr>
            <w:tcW w:w="1559" w:type="dxa"/>
            <w:vAlign w:val="center"/>
          </w:tcPr>
          <w:p w:rsidR="005B0058" w:rsidRPr="0010487B" w:rsidRDefault="005B0058" w:rsidP="005B0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8 658,8</w:t>
            </w:r>
          </w:p>
        </w:tc>
        <w:tc>
          <w:tcPr>
            <w:tcW w:w="1449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8 658,8</w:t>
            </w:r>
          </w:p>
        </w:tc>
        <w:tc>
          <w:tcPr>
            <w:tcW w:w="1264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12 964,2</w:t>
            </w:r>
          </w:p>
        </w:tc>
        <w:tc>
          <w:tcPr>
            <w:tcW w:w="1264" w:type="dxa"/>
            <w:vAlign w:val="center"/>
          </w:tcPr>
          <w:p w:rsidR="005B0058" w:rsidRPr="0010487B" w:rsidRDefault="006F3657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4 799,3</w:t>
            </w:r>
          </w:p>
        </w:tc>
        <w:tc>
          <w:tcPr>
            <w:tcW w:w="1171" w:type="dxa"/>
            <w:vAlign w:val="center"/>
          </w:tcPr>
          <w:p w:rsidR="005B0058" w:rsidRPr="0010487B" w:rsidRDefault="006F3657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-8 058,7</w:t>
            </w:r>
          </w:p>
        </w:tc>
      </w:tr>
      <w:tr w:rsidR="005B0058" w:rsidRPr="0010487B" w:rsidTr="009A4D7D">
        <w:trPr>
          <w:trHeight w:val="419"/>
        </w:trPr>
        <w:tc>
          <w:tcPr>
            <w:tcW w:w="2802" w:type="dxa"/>
          </w:tcPr>
          <w:p w:rsidR="005B0058" w:rsidRPr="0010487B" w:rsidRDefault="005B0058" w:rsidP="005B0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42 825,6</w:t>
            </w:r>
          </w:p>
        </w:tc>
        <w:tc>
          <w:tcPr>
            <w:tcW w:w="1449" w:type="dxa"/>
            <w:vAlign w:val="center"/>
          </w:tcPr>
          <w:p w:rsidR="005B0058" w:rsidRPr="0010487B" w:rsidRDefault="005B0058" w:rsidP="005B0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12 265,6</w:t>
            </w:r>
          </w:p>
        </w:tc>
        <w:tc>
          <w:tcPr>
            <w:tcW w:w="1264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5B0058" w:rsidRPr="0010487B" w:rsidRDefault="006F3657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23 509,7</w:t>
            </w:r>
          </w:p>
        </w:tc>
        <w:tc>
          <w:tcPr>
            <w:tcW w:w="1171" w:type="dxa"/>
            <w:vAlign w:val="center"/>
          </w:tcPr>
          <w:p w:rsidR="005B0058" w:rsidRPr="0010487B" w:rsidRDefault="006F3657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15 712,7</w:t>
            </w:r>
          </w:p>
        </w:tc>
      </w:tr>
      <w:tr w:rsidR="005B0058" w:rsidRPr="009A4D7D" w:rsidTr="009A4D7D">
        <w:trPr>
          <w:trHeight w:val="553"/>
        </w:trPr>
        <w:tc>
          <w:tcPr>
            <w:tcW w:w="2802" w:type="dxa"/>
          </w:tcPr>
          <w:p w:rsidR="005B0058" w:rsidRPr="0010487B" w:rsidRDefault="005B0058" w:rsidP="005B00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Всего поступлений из источников финансирования дефицита муниципального бюджета</w:t>
            </w:r>
          </w:p>
        </w:tc>
        <w:tc>
          <w:tcPr>
            <w:tcW w:w="1559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59 484 ,4</w:t>
            </w:r>
          </w:p>
        </w:tc>
        <w:tc>
          <w:tcPr>
            <w:tcW w:w="1449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28 924,4</w:t>
            </w:r>
          </w:p>
        </w:tc>
        <w:tc>
          <w:tcPr>
            <w:tcW w:w="1264" w:type="dxa"/>
            <w:vAlign w:val="center"/>
          </w:tcPr>
          <w:p w:rsidR="005B0058" w:rsidRPr="0010487B" w:rsidRDefault="005B0058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22 964,2</w:t>
            </w:r>
          </w:p>
        </w:tc>
        <w:tc>
          <w:tcPr>
            <w:tcW w:w="1264" w:type="dxa"/>
            <w:vAlign w:val="center"/>
          </w:tcPr>
          <w:p w:rsidR="005B0058" w:rsidRPr="0010487B" w:rsidRDefault="006F3657" w:rsidP="006F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15 309,0</w:t>
            </w:r>
          </w:p>
        </w:tc>
        <w:tc>
          <w:tcPr>
            <w:tcW w:w="1171" w:type="dxa"/>
            <w:vAlign w:val="center"/>
          </w:tcPr>
          <w:p w:rsidR="005B0058" w:rsidRPr="009A4D7D" w:rsidRDefault="006F3657" w:rsidP="0010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87B">
              <w:rPr>
                <w:rFonts w:ascii="Times New Roman" w:hAnsi="Times New Roman" w:cs="Times New Roman"/>
                <w:sz w:val="16"/>
                <w:szCs w:val="16"/>
              </w:rPr>
              <w:t>7 654,0</w:t>
            </w:r>
          </w:p>
        </w:tc>
      </w:tr>
      <w:tr w:rsidR="005B0058" w:rsidRPr="009A4D7D" w:rsidTr="009A4D7D">
        <w:trPr>
          <w:trHeight w:val="277"/>
        </w:trPr>
        <w:tc>
          <w:tcPr>
            <w:tcW w:w="2802" w:type="dxa"/>
          </w:tcPr>
          <w:p w:rsidR="005B0058" w:rsidRPr="009A4D7D" w:rsidRDefault="005B0058" w:rsidP="005B00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D7D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дефицита бюджета</w:t>
            </w:r>
          </w:p>
        </w:tc>
        <w:tc>
          <w:tcPr>
            <w:tcW w:w="1559" w:type="dxa"/>
            <w:vAlign w:val="center"/>
          </w:tcPr>
          <w:p w:rsidR="005B0058" w:rsidRPr="009A4D7D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D7D">
              <w:rPr>
                <w:rFonts w:ascii="Times New Roman" w:hAnsi="Times New Roman" w:cs="Times New Roman"/>
                <w:b/>
                <w:sz w:val="16"/>
                <w:szCs w:val="16"/>
              </w:rPr>
              <w:t>59 484,4</w:t>
            </w:r>
          </w:p>
        </w:tc>
        <w:tc>
          <w:tcPr>
            <w:tcW w:w="1449" w:type="dxa"/>
            <w:vAlign w:val="center"/>
          </w:tcPr>
          <w:p w:rsidR="005B0058" w:rsidRPr="009A4D7D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D7D">
              <w:rPr>
                <w:rFonts w:ascii="Times New Roman" w:hAnsi="Times New Roman" w:cs="Times New Roman"/>
                <w:b/>
                <w:sz w:val="16"/>
                <w:szCs w:val="16"/>
              </w:rPr>
              <w:t>28 924,5</w:t>
            </w:r>
          </w:p>
        </w:tc>
        <w:tc>
          <w:tcPr>
            <w:tcW w:w="1264" w:type="dxa"/>
            <w:vAlign w:val="center"/>
          </w:tcPr>
          <w:p w:rsidR="005B0058" w:rsidRPr="009A4D7D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D7D">
              <w:rPr>
                <w:rFonts w:ascii="Times New Roman" w:hAnsi="Times New Roman" w:cs="Times New Roman"/>
                <w:b/>
                <w:sz w:val="16"/>
                <w:szCs w:val="16"/>
              </w:rPr>
              <w:t>22 964,2</w:t>
            </w:r>
          </w:p>
        </w:tc>
        <w:tc>
          <w:tcPr>
            <w:tcW w:w="1264" w:type="dxa"/>
            <w:vAlign w:val="center"/>
          </w:tcPr>
          <w:p w:rsidR="005B0058" w:rsidRPr="009A4D7D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D7D">
              <w:rPr>
                <w:rFonts w:ascii="Times New Roman" w:hAnsi="Times New Roman" w:cs="Times New Roman"/>
                <w:b/>
                <w:sz w:val="16"/>
                <w:szCs w:val="16"/>
              </w:rPr>
              <w:t>15 309,0</w:t>
            </w:r>
          </w:p>
        </w:tc>
        <w:tc>
          <w:tcPr>
            <w:tcW w:w="1171" w:type="dxa"/>
            <w:vAlign w:val="center"/>
          </w:tcPr>
          <w:p w:rsidR="005B0058" w:rsidRPr="009A4D7D" w:rsidRDefault="005B0058" w:rsidP="0010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D7D">
              <w:rPr>
                <w:rFonts w:ascii="Times New Roman" w:hAnsi="Times New Roman" w:cs="Times New Roman"/>
                <w:b/>
                <w:sz w:val="16"/>
                <w:szCs w:val="16"/>
              </w:rPr>
              <w:t>7 654,0</w:t>
            </w:r>
          </w:p>
        </w:tc>
      </w:tr>
    </w:tbl>
    <w:p w:rsidR="000D5B02" w:rsidRPr="002641D6" w:rsidRDefault="000D5B02" w:rsidP="00106802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106802" w:rsidRPr="003A15CC" w:rsidRDefault="00106802" w:rsidP="00106802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1B24EF">
        <w:rPr>
          <w:color w:val="auto"/>
          <w:sz w:val="28"/>
          <w:szCs w:val="28"/>
        </w:rPr>
        <w:t>Состав источников финансирования дефицита бюджета соответствует требованиям ст. 96 Б</w:t>
      </w:r>
      <w:r w:rsidR="006F3657" w:rsidRPr="001B24EF">
        <w:rPr>
          <w:color w:val="auto"/>
          <w:sz w:val="28"/>
          <w:szCs w:val="28"/>
        </w:rPr>
        <w:t>К</w:t>
      </w:r>
      <w:r w:rsidRPr="001B24EF">
        <w:rPr>
          <w:color w:val="auto"/>
          <w:sz w:val="28"/>
          <w:szCs w:val="28"/>
        </w:rPr>
        <w:t xml:space="preserve"> РФ.</w:t>
      </w:r>
    </w:p>
    <w:p w:rsidR="00106802" w:rsidRPr="0010487B" w:rsidRDefault="00106802" w:rsidP="00106802">
      <w:pPr>
        <w:pStyle w:val="Default"/>
        <w:ind w:firstLine="700"/>
        <w:jc w:val="both"/>
        <w:rPr>
          <w:bCs/>
          <w:sz w:val="28"/>
          <w:szCs w:val="28"/>
        </w:rPr>
      </w:pPr>
      <w:r w:rsidRPr="003A15CC">
        <w:rPr>
          <w:sz w:val="28"/>
          <w:szCs w:val="28"/>
        </w:rPr>
        <w:t>Перечень муниципальных заимствований на 201</w:t>
      </w:r>
      <w:r w:rsidR="00B14A08">
        <w:rPr>
          <w:sz w:val="28"/>
          <w:szCs w:val="28"/>
        </w:rPr>
        <w:t>9</w:t>
      </w:r>
      <w:r w:rsidRPr="003A15CC">
        <w:rPr>
          <w:sz w:val="28"/>
          <w:szCs w:val="28"/>
        </w:rPr>
        <w:t>-202</w:t>
      </w:r>
      <w:r w:rsidR="00B14A08">
        <w:rPr>
          <w:sz w:val="28"/>
          <w:szCs w:val="28"/>
        </w:rPr>
        <w:t>1</w:t>
      </w:r>
      <w:r w:rsidRPr="003A15CC">
        <w:rPr>
          <w:sz w:val="28"/>
          <w:szCs w:val="28"/>
        </w:rPr>
        <w:t xml:space="preserve"> годы</w:t>
      </w:r>
      <w:r w:rsidRPr="003A15CC">
        <w:rPr>
          <w:bCs/>
          <w:sz w:val="28"/>
          <w:szCs w:val="28"/>
        </w:rPr>
        <w:t xml:space="preserve">, а также </w:t>
      </w:r>
      <w:r w:rsidRPr="0010487B">
        <w:rPr>
          <w:bCs/>
          <w:sz w:val="28"/>
          <w:szCs w:val="28"/>
        </w:rPr>
        <w:t xml:space="preserve">объем средств, направляемых на погашение основной суммы долга,  приведены в таблице </w:t>
      </w:r>
      <w:r w:rsidR="009A4D7D" w:rsidRPr="0010487B">
        <w:rPr>
          <w:bCs/>
          <w:sz w:val="28"/>
          <w:szCs w:val="28"/>
        </w:rPr>
        <w:t>№ 10</w:t>
      </w:r>
      <w:r w:rsidRPr="0010487B">
        <w:rPr>
          <w:bCs/>
          <w:sz w:val="28"/>
          <w:szCs w:val="28"/>
        </w:rPr>
        <w:t>.</w:t>
      </w:r>
    </w:p>
    <w:p w:rsidR="00106802" w:rsidRPr="003A15CC" w:rsidRDefault="00106802" w:rsidP="00106802">
      <w:pPr>
        <w:pStyle w:val="Default"/>
        <w:ind w:firstLine="700"/>
        <w:jc w:val="right"/>
        <w:rPr>
          <w:sz w:val="28"/>
          <w:szCs w:val="28"/>
        </w:rPr>
      </w:pPr>
      <w:r w:rsidRPr="0010487B">
        <w:rPr>
          <w:bCs/>
          <w:sz w:val="28"/>
          <w:szCs w:val="28"/>
        </w:rPr>
        <w:t xml:space="preserve">Таблица </w:t>
      </w:r>
      <w:r w:rsidR="009A4D7D" w:rsidRPr="0010487B">
        <w:rPr>
          <w:bCs/>
          <w:sz w:val="28"/>
          <w:szCs w:val="28"/>
        </w:rPr>
        <w:t>№ 10</w:t>
      </w:r>
    </w:p>
    <w:tbl>
      <w:tblPr>
        <w:tblStyle w:val="a3"/>
        <w:tblW w:w="0" w:type="auto"/>
        <w:tblLook w:val="04A0"/>
      </w:tblPr>
      <w:tblGrid>
        <w:gridCol w:w="1933"/>
        <w:gridCol w:w="1272"/>
        <w:gridCol w:w="1272"/>
        <w:gridCol w:w="1273"/>
        <w:gridCol w:w="1273"/>
        <w:gridCol w:w="1274"/>
        <w:gridCol w:w="1274"/>
      </w:tblGrid>
      <w:tr w:rsidR="00106802" w:rsidRPr="009A4D7D" w:rsidTr="00106802">
        <w:tc>
          <w:tcPr>
            <w:tcW w:w="1933" w:type="dxa"/>
            <w:vMerge w:val="restart"/>
            <w:vAlign w:val="center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муниципального заимствования</w:t>
            </w:r>
          </w:p>
        </w:tc>
        <w:tc>
          <w:tcPr>
            <w:tcW w:w="3817" w:type="dxa"/>
            <w:gridSpan w:val="3"/>
            <w:vAlign w:val="center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привлечения, тыс. руб.</w:t>
            </w:r>
          </w:p>
        </w:tc>
        <w:tc>
          <w:tcPr>
            <w:tcW w:w="3821" w:type="dxa"/>
            <w:gridSpan w:val="3"/>
            <w:vAlign w:val="center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средств, направляемых на погашение основной суммы долга, тыс. руб.</w:t>
            </w:r>
          </w:p>
        </w:tc>
      </w:tr>
      <w:tr w:rsidR="00106802" w:rsidRPr="009A4D7D" w:rsidTr="00106802">
        <w:tc>
          <w:tcPr>
            <w:tcW w:w="1933" w:type="dxa"/>
            <w:vMerge/>
            <w:vAlign w:val="center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106802" w:rsidRPr="009A4D7D" w:rsidRDefault="00106802" w:rsidP="00B14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B14A08"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:rsidR="00106802" w:rsidRPr="009A4D7D" w:rsidRDefault="00106802" w:rsidP="00B14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14A08"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3" w:type="dxa"/>
            <w:vAlign w:val="center"/>
          </w:tcPr>
          <w:p w:rsidR="00106802" w:rsidRPr="009A4D7D" w:rsidRDefault="00106802" w:rsidP="00B14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14A08"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3" w:type="dxa"/>
            <w:vAlign w:val="center"/>
          </w:tcPr>
          <w:p w:rsidR="00106802" w:rsidRPr="009A4D7D" w:rsidRDefault="00106802" w:rsidP="00B14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B14A08"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4" w:type="dxa"/>
            <w:vAlign w:val="center"/>
          </w:tcPr>
          <w:p w:rsidR="00106802" w:rsidRPr="009A4D7D" w:rsidRDefault="00106802" w:rsidP="00B14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14A08"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4" w:type="dxa"/>
            <w:vAlign w:val="center"/>
          </w:tcPr>
          <w:p w:rsidR="00106802" w:rsidRPr="009A4D7D" w:rsidRDefault="00106802" w:rsidP="00B14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14A08"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A4D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06802" w:rsidRPr="009A4D7D" w:rsidTr="00106802">
        <w:tc>
          <w:tcPr>
            <w:tcW w:w="1933" w:type="dxa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272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10 000,0</w:t>
            </w:r>
          </w:p>
        </w:tc>
        <w:tc>
          <w:tcPr>
            <w:tcW w:w="1272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10 000,0</w:t>
            </w:r>
          </w:p>
        </w:tc>
        <w:tc>
          <w:tcPr>
            <w:tcW w:w="1273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10 000,0</w:t>
            </w:r>
          </w:p>
        </w:tc>
        <w:tc>
          <w:tcPr>
            <w:tcW w:w="1273" w:type="dxa"/>
            <w:vAlign w:val="center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23000,0</w:t>
            </w:r>
          </w:p>
        </w:tc>
        <w:tc>
          <w:tcPr>
            <w:tcW w:w="1274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10 000,0</w:t>
            </w:r>
          </w:p>
        </w:tc>
      </w:tr>
      <w:tr w:rsidR="00106802" w:rsidRPr="009A4D7D" w:rsidTr="00106802">
        <w:tc>
          <w:tcPr>
            <w:tcW w:w="1933" w:type="dxa"/>
          </w:tcPr>
          <w:p w:rsidR="00106802" w:rsidRPr="009A4D7D" w:rsidRDefault="00106802" w:rsidP="00106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Кредиты, привлекаемые от других бюджетов бюджетной системы</w:t>
            </w:r>
          </w:p>
        </w:tc>
        <w:tc>
          <w:tcPr>
            <w:tcW w:w="1272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27 605 ,4</w:t>
            </w:r>
          </w:p>
        </w:tc>
        <w:tc>
          <w:tcPr>
            <w:tcW w:w="1272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25 309,0</w:t>
            </w:r>
          </w:p>
        </w:tc>
        <w:tc>
          <w:tcPr>
            <w:tcW w:w="1273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17 654,0</w:t>
            </w:r>
          </w:p>
        </w:tc>
        <w:tc>
          <w:tcPr>
            <w:tcW w:w="1273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14 641,2</w:t>
            </w:r>
          </w:p>
        </w:tc>
        <w:tc>
          <w:tcPr>
            <w:tcW w:w="1274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20 509,7</w:t>
            </w:r>
          </w:p>
        </w:tc>
        <w:tc>
          <w:tcPr>
            <w:tcW w:w="1274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25 712,7</w:t>
            </w:r>
          </w:p>
        </w:tc>
      </w:tr>
      <w:tr w:rsidR="00106802" w:rsidRPr="009A4D7D" w:rsidTr="00106802">
        <w:tc>
          <w:tcPr>
            <w:tcW w:w="1933" w:type="dxa"/>
          </w:tcPr>
          <w:p w:rsidR="00106802" w:rsidRPr="009A4D7D" w:rsidRDefault="00106802" w:rsidP="009A4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1272" w:type="dxa"/>
            <w:vAlign w:val="center"/>
          </w:tcPr>
          <w:p w:rsidR="00106802" w:rsidRPr="009A4D7D" w:rsidRDefault="00B14A08" w:rsidP="00B14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37 605,4</w:t>
            </w:r>
          </w:p>
        </w:tc>
        <w:tc>
          <w:tcPr>
            <w:tcW w:w="1272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35 309,0</w:t>
            </w:r>
          </w:p>
        </w:tc>
        <w:tc>
          <w:tcPr>
            <w:tcW w:w="1273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27 654,0</w:t>
            </w:r>
          </w:p>
        </w:tc>
        <w:tc>
          <w:tcPr>
            <w:tcW w:w="1273" w:type="dxa"/>
            <w:vAlign w:val="center"/>
          </w:tcPr>
          <w:p w:rsidR="00106802" w:rsidRPr="009A4D7D" w:rsidRDefault="00B14A08" w:rsidP="00B14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14 641,2</w:t>
            </w:r>
          </w:p>
        </w:tc>
        <w:tc>
          <w:tcPr>
            <w:tcW w:w="1274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43 509,7</w:t>
            </w:r>
          </w:p>
        </w:tc>
        <w:tc>
          <w:tcPr>
            <w:tcW w:w="1274" w:type="dxa"/>
            <w:vAlign w:val="center"/>
          </w:tcPr>
          <w:p w:rsidR="00106802" w:rsidRPr="009A4D7D" w:rsidRDefault="00B14A08" w:rsidP="00106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D7D">
              <w:rPr>
                <w:rFonts w:ascii="Times New Roman" w:hAnsi="Times New Roman" w:cs="Times New Roman"/>
                <w:bCs/>
                <w:sz w:val="18"/>
                <w:szCs w:val="18"/>
              </w:rPr>
              <w:t>35 712,7</w:t>
            </w:r>
          </w:p>
        </w:tc>
      </w:tr>
    </w:tbl>
    <w:p w:rsidR="000D5B02" w:rsidRPr="002641D6" w:rsidRDefault="00106802" w:rsidP="0010680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A15CC">
        <w:rPr>
          <w:rFonts w:ascii="Times New Roman" w:hAnsi="Times New Roman" w:cs="Times New Roman"/>
          <w:bCs/>
          <w:sz w:val="28"/>
          <w:szCs w:val="28"/>
        </w:rPr>
        <w:tab/>
      </w:r>
    </w:p>
    <w:p w:rsidR="00106802" w:rsidRPr="003A15CC" w:rsidRDefault="00106802" w:rsidP="000D5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CC">
        <w:rPr>
          <w:rFonts w:ascii="Times New Roman" w:hAnsi="Times New Roman" w:cs="Times New Roman"/>
          <w:sz w:val="28"/>
          <w:szCs w:val="28"/>
        </w:rPr>
        <w:t>Виды и суммы заимствований соответствуют видам и суммам ист</w:t>
      </w:r>
      <w:r w:rsidR="00A950BC">
        <w:rPr>
          <w:rFonts w:ascii="Times New Roman" w:hAnsi="Times New Roman" w:cs="Times New Roman"/>
          <w:sz w:val="28"/>
          <w:szCs w:val="28"/>
        </w:rPr>
        <w:t>очников финансирования дефицита</w:t>
      </w:r>
      <w:r w:rsidRPr="003A15C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06802" w:rsidRDefault="00106802" w:rsidP="001068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4EF">
        <w:rPr>
          <w:rFonts w:ascii="Times New Roman" w:hAnsi="Times New Roman" w:cs="Times New Roman"/>
          <w:bCs/>
          <w:sz w:val="28"/>
          <w:szCs w:val="28"/>
        </w:rPr>
        <w:t>Запланированный объем заимствований кредитов от других бюджетов бюджетной системы соответствует требованиям, установленным ст. 106 БК РФ.</w:t>
      </w:r>
    </w:p>
    <w:p w:rsidR="00A950BC" w:rsidRPr="00A950BC" w:rsidRDefault="00A950BC" w:rsidP="001068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950BC" w:rsidRDefault="00106802" w:rsidP="00A950B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C03D18">
        <w:rPr>
          <w:color w:val="auto"/>
          <w:sz w:val="28"/>
          <w:szCs w:val="28"/>
        </w:rPr>
        <w:t xml:space="preserve">Муниципальный долг, расходы на обслуживание </w:t>
      </w:r>
    </w:p>
    <w:p w:rsidR="00106802" w:rsidRPr="00C03D18" w:rsidRDefault="00106802" w:rsidP="00A950B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C03D18">
        <w:rPr>
          <w:color w:val="auto"/>
          <w:sz w:val="28"/>
          <w:szCs w:val="28"/>
        </w:rPr>
        <w:t>муниципального долга</w:t>
      </w:r>
    </w:p>
    <w:p w:rsidR="00106802" w:rsidRPr="00C03D18" w:rsidRDefault="00106802" w:rsidP="00106802">
      <w:pPr>
        <w:pStyle w:val="Default"/>
        <w:jc w:val="both"/>
        <w:rPr>
          <w:color w:val="auto"/>
          <w:sz w:val="16"/>
          <w:szCs w:val="16"/>
        </w:rPr>
      </w:pPr>
    </w:p>
    <w:p w:rsidR="00106802" w:rsidRDefault="00106802" w:rsidP="00106802">
      <w:pPr>
        <w:pStyle w:val="Default"/>
        <w:ind w:firstLine="708"/>
        <w:jc w:val="both"/>
        <w:rPr>
          <w:sz w:val="28"/>
          <w:szCs w:val="28"/>
        </w:rPr>
      </w:pPr>
      <w:r w:rsidRPr="003A15CC">
        <w:rPr>
          <w:sz w:val="28"/>
          <w:szCs w:val="28"/>
        </w:rPr>
        <w:t>Динамика расходов на погашение муниципального долга в 201</w:t>
      </w:r>
      <w:r w:rsidR="0033169B">
        <w:rPr>
          <w:sz w:val="28"/>
          <w:szCs w:val="28"/>
        </w:rPr>
        <w:t>8</w:t>
      </w:r>
      <w:r w:rsidRPr="003A15CC">
        <w:rPr>
          <w:sz w:val="28"/>
          <w:szCs w:val="28"/>
        </w:rPr>
        <w:t xml:space="preserve"> – 202</w:t>
      </w:r>
      <w:r w:rsidR="0033169B">
        <w:rPr>
          <w:sz w:val="28"/>
          <w:szCs w:val="28"/>
        </w:rPr>
        <w:t>1</w:t>
      </w:r>
      <w:r w:rsidRPr="0010487B">
        <w:rPr>
          <w:sz w:val="28"/>
          <w:szCs w:val="28"/>
        </w:rPr>
        <w:t>годах и предельных размеров муниципального долга на конец года</w:t>
      </w:r>
      <w:r w:rsidR="00C10A41">
        <w:rPr>
          <w:sz w:val="28"/>
          <w:szCs w:val="28"/>
        </w:rPr>
        <w:t> тыс. </w:t>
      </w:r>
      <w:r w:rsidR="0033169B" w:rsidRPr="0010487B">
        <w:rPr>
          <w:sz w:val="28"/>
          <w:szCs w:val="28"/>
        </w:rPr>
        <w:t>руб</w:t>
      </w:r>
      <w:r w:rsidR="00C10A41">
        <w:rPr>
          <w:sz w:val="28"/>
          <w:szCs w:val="28"/>
        </w:rPr>
        <w:t>. </w:t>
      </w:r>
      <w:r w:rsidRPr="0010487B">
        <w:rPr>
          <w:sz w:val="28"/>
          <w:szCs w:val="28"/>
        </w:rPr>
        <w:t xml:space="preserve">отражена в </w:t>
      </w:r>
      <w:r w:rsidR="009A4D7D" w:rsidRPr="0010487B">
        <w:rPr>
          <w:sz w:val="28"/>
          <w:szCs w:val="28"/>
        </w:rPr>
        <w:t>таблице № 11</w:t>
      </w:r>
      <w:r w:rsidR="00C10A41">
        <w:rPr>
          <w:sz w:val="28"/>
          <w:szCs w:val="28"/>
        </w:rPr>
        <w:t>.</w:t>
      </w:r>
    </w:p>
    <w:p w:rsidR="00A950BC" w:rsidRPr="0010487B" w:rsidRDefault="00A950BC" w:rsidP="00106802">
      <w:pPr>
        <w:pStyle w:val="Default"/>
        <w:ind w:firstLine="708"/>
        <w:jc w:val="both"/>
        <w:rPr>
          <w:sz w:val="28"/>
          <w:szCs w:val="28"/>
        </w:rPr>
      </w:pPr>
    </w:p>
    <w:p w:rsidR="00106802" w:rsidRPr="0010487B" w:rsidRDefault="00106802" w:rsidP="00106802">
      <w:pPr>
        <w:pStyle w:val="Default"/>
        <w:ind w:firstLine="708"/>
        <w:jc w:val="right"/>
        <w:rPr>
          <w:sz w:val="28"/>
          <w:szCs w:val="28"/>
        </w:rPr>
      </w:pPr>
      <w:r w:rsidRPr="0010487B">
        <w:rPr>
          <w:sz w:val="28"/>
          <w:szCs w:val="28"/>
        </w:rPr>
        <w:lastRenderedPageBreak/>
        <w:t xml:space="preserve">Таблица </w:t>
      </w:r>
      <w:r w:rsidR="009A4D7D" w:rsidRPr="0010487B">
        <w:rPr>
          <w:sz w:val="28"/>
          <w:szCs w:val="28"/>
        </w:rPr>
        <w:t>№ 11</w:t>
      </w:r>
    </w:p>
    <w:tbl>
      <w:tblPr>
        <w:tblW w:w="0" w:type="auto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1849"/>
        <w:gridCol w:w="1729"/>
        <w:gridCol w:w="1904"/>
      </w:tblGrid>
      <w:tr w:rsidR="007B7419" w:rsidRPr="009A4D7D" w:rsidTr="007B7419">
        <w:trPr>
          <w:trHeight w:val="358"/>
          <w:jc w:val="center"/>
        </w:trPr>
        <w:tc>
          <w:tcPr>
            <w:tcW w:w="3850" w:type="dxa"/>
            <w:vMerge w:val="restart"/>
            <w:vAlign w:val="center"/>
          </w:tcPr>
          <w:p w:rsidR="007B7419" w:rsidRPr="0010487B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82" w:type="dxa"/>
            <w:gridSpan w:val="3"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7B7419" w:rsidRPr="009A4D7D" w:rsidTr="007B7419">
        <w:trPr>
          <w:trHeight w:val="416"/>
          <w:jc w:val="center"/>
        </w:trPr>
        <w:tc>
          <w:tcPr>
            <w:tcW w:w="3850" w:type="dxa"/>
            <w:vMerge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7B7419" w:rsidRPr="009A4D7D" w:rsidRDefault="007B7419" w:rsidP="0033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729" w:type="dxa"/>
            <w:vAlign w:val="center"/>
          </w:tcPr>
          <w:p w:rsidR="007B7419" w:rsidRPr="009A4D7D" w:rsidRDefault="007B7419" w:rsidP="0033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904" w:type="dxa"/>
            <w:vAlign w:val="center"/>
          </w:tcPr>
          <w:p w:rsidR="007B7419" w:rsidRPr="009A4D7D" w:rsidRDefault="007B7419" w:rsidP="0033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7B7419" w:rsidRPr="009A4D7D" w:rsidTr="007B7419">
        <w:trPr>
          <w:trHeight w:val="411"/>
          <w:jc w:val="center"/>
        </w:trPr>
        <w:tc>
          <w:tcPr>
            <w:tcW w:w="3850" w:type="dxa"/>
          </w:tcPr>
          <w:p w:rsidR="007B7419" w:rsidRPr="009A4D7D" w:rsidRDefault="007B7419" w:rsidP="00106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муниципального долга</w:t>
            </w:r>
          </w:p>
        </w:tc>
        <w:tc>
          <w:tcPr>
            <w:tcW w:w="1849" w:type="dxa"/>
            <w:vAlign w:val="center"/>
          </w:tcPr>
          <w:p w:rsidR="007B7419" w:rsidRPr="009A4D7D" w:rsidRDefault="00C10A41" w:rsidP="00C1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1 984,5</w:t>
            </w:r>
          </w:p>
        </w:tc>
        <w:tc>
          <w:tcPr>
            <w:tcW w:w="1729" w:type="dxa"/>
            <w:vAlign w:val="center"/>
          </w:tcPr>
          <w:p w:rsidR="007B7419" w:rsidRPr="009A4D7D" w:rsidRDefault="00C10A41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2 846,6</w:t>
            </w:r>
          </w:p>
        </w:tc>
        <w:tc>
          <w:tcPr>
            <w:tcW w:w="1904" w:type="dxa"/>
            <w:vAlign w:val="center"/>
          </w:tcPr>
          <w:p w:rsidR="007B7419" w:rsidRPr="009A4D7D" w:rsidRDefault="00C10A41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1741,3</w:t>
            </w:r>
          </w:p>
        </w:tc>
      </w:tr>
      <w:tr w:rsidR="007B7419" w:rsidRPr="009A4D7D" w:rsidTr="007B7419">
        <w:trPr>
          <w:trHeight w:val="587"/>
          <w:jc w:val="center"/>
        </w:trPr>
        <w:tc>
          <w:tcPr>
            <w:tcW w:w="3850" w:type="dxa"/>
          </w:tcPr>
          <w:p w:rsidR="007B7419" w:rsidRPr="009A4D7D" w:rsidRDefault="007B7419" w:rsidP="00106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размера муниципального долга </w:t>
            </w:r>
          </w:p>
        </w:tc>
        <w:tc>
          <w:tcPr>
            <w:tcW w:w="1849" w:type="dxa"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>62 670,2</w:t>
            </w:r>
          </w:p>
        </w:tc>
        <w:tc>
          <w:tcPr>
            <w:tcW w:w="1729" w:type="dxa"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>54 469,5</w:t>
            </w:r>
          </w:p>
        </w:tc>
        <w:tc>
          <w:tcPr>
            <w:tcW w:w="1904" w:type="dxa"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>46 410,8</w:t>
            </w:r>
          </w:p>
        </w:tc>
      </w:tr>
      <w:tr w:rsidR="007B7419" w:rsidRPr="009A4D7D" w:rsidTr="007B7419">
        <w:trPr>
          <w:trHeight w:val="441"/>
          <w:jc w:val="center"/>
        </w:trPr>
        <w:tc>
          <w:tcPr>
            <w:tcW w:w="3850" w:type="dxa"/>
          </w:tcPr>
          <w:p w:rsidR="007B7419" w:rsidRPr="009A4D7D" w:rsidRDefault="007B7419" w:rsidP="00106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размер муниципального долга </w:t>
            </w:r>
          </w:p>
        </w:tc>
        <w:tc>
          <w:tcPr>
            <w:tcW w:w="1849" w:type="dxa"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>87 917,7</w:t>
            </w:r>
          </w:p>
        </w:tc>
        <w:tc>
          <w:tcPr>
            <w:tcW w:w="1729" w:type="dxa"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>112 964,6</w:t>
            </w:r>
          </w:p>
        </w:tc>
        <w:tc>
          <w:tcPr>
            <w:tcW w:w="1904" w:type="dxa"/>
            <w:vAlign w:val="center"/>
          </w:tcPr>
          <w:p w:rsidR="007B7419" w:rsidRPr="009A4D7D" w:rsidRDefault="007B7419" w:rsidP="0010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D7D">
              <w:rPr>
                <w:rFonts w:ascii="Times New Roman" w:hAnsi="Times New Roman" w:cs="Times New Roman"/>
                <w:sz w:val="20"/>
                <w:szCs w:val="20"/>
              </w:rPr>
              <w:t>93 698,5</w:t>
            </w:r>
          </w:p>
        </w:tc>
      </w:tr>
    </w:tbl>
    <w:p w:rsidR="00554756" w:rsidRPr="0033169B" w:rsidRDefault="00554756" w:rsidP="00106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06802" w:rsidRPr="003A15CC" w:rsidRDefault="00106802" w:rsidP="001068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4EF">
        <w:rPr>
          <w:rFonts w:ascii="Times New Roman" w:hAnsi="Times New Roman" w:cs="Times New Roman"/>
          <w:sz w:val="28"/>
          <w:szCs w:val="28"/>
        </w:rPr>
        <w:t>Пр</w:t>
      </w:r>
      <w:r w:rsidR="00A950BC">
        <w:rPr>
          <w:rFonts w:ascii="Times New Roman" w:hAnsi="Times New Roman" w:cs="Times New Roman"/>
          <w:sz w:val="28"/>
          <w:szCs w:val="28"/>
        </w:rPr>
        <w:t>едусмотренный в проекте решения объем муниципального долга не </w:t>
      </w:r>
      <w:r w:rsidRPr="001B24EF">
        <w:rPr>
          <w:rFonts w:ascii="Times New Roman" w:hAnsi="Times New Roman" w:cs="Times New Roman"/>
          <w:sz w:val="28"/>
          <w:szCs w:val="28"/>
        </w:rPr>
        <w:t>превысит предельное значение предельного объема муниц</w:t>
      </w:r>
      <w:r w:rsidR="00A950BC">
        <w:rPr>
          <w:rFonts w:ascii="Times New Roman" w:hAnsi="Times New Roman" w:cs="Times New Roman"/>
          <w:sz w:val="28"/>
          <w:szCs w:val="28"/>
        </w:rPr>
        <w:t xml:space="preserve">ипального долга, установленное статьей 107 БК РФ. Объем расходов, предусмотренных на </w:t>
      </w:r>
      <w:r w:rsidRPr="001B24EF">
        <w:rPr>
          <w:rFonts w:ascii="Times New Roman" w:hAnsi="Times New Roman" w:cs="Times New Roman"/>
          <w:sz w:val="28"/>
          <w:szCs w:val="28"/>
        </w:rPr>
        <w:t>обс</w:t>
      </w:r>
      <w:r w:rsidR="00A950BC">
        <w:rPr>
          <w:rFonts w:ascii="Times New Roman" w:hAnsi="Times New Roman" w:cs="Times New Roman"/>
          <w:sz w:val="28"/>
          <w:szCs w:val="28"/>
        </w:rPr>
        <w:t xml:space="preserve">луживание муниципального долга, </w:t>
      </w:r>
      <w:r w:rsidRPr="001B24EF">
        <w:rPr>
          <w:rFonts w:ascii="Times New Roman" w:hAnsi="Times New Roman" w:cs="Times New Roman"/>
          <w:sz w:val="28"/>
          <w:szCs w:val="28"/>
        </w:rPr>
        <w:t>не превысит ограничение, установленное статьей 111 БК РФ.</w:t>
      </w:r>
    </w:p>
    <w:p w:rsidR="00106802" w:rsidRPr="001B47ED" w:rsidRDefault="00106802" w:rsidP="00106802">
      <w:pPr>
        <w:pStyle w:val="Default"/>
        <w:jc w:val="both"/>
        <w:rPr>
          <w:color w:val="auto"/>
          <w:sz w:val="16"/>
          <w:szCs w:val="16"/>
        </w:rPr>
      </w:pPr>
    </w:p>
    <w:p w:rsidR="00107B3D" w:rsidRPr="003A15CC" w:rsidRDefault="00107B3D" w:rsidP="00107B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5CC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107B3D" w:rsidRPr="003A15CC" w:rsidRDefault="00107B3D" w:rsidP="00107B3D">
      <w:pPr>
        <w:pStyle w:val="Default"/>
        <w:ind w:firstLine="705"/>
        <w:jc w:val="both"/>
        <w:rPr>
          <w:sz w:val="28"/>
          <w:szCs w:val="28"/>
        </w:rPr>
      </w:pPr>
      <w:r w:rsidRPr="003A15CC">
        <w:rPr>
          <w:sz w:val="28"/>
          <w:szCs w:val="28"/>
        </w:rPr>
        <w:t>С учетом вышеизложенного, замечания экономического и пра</w:t>
      </w:r>
      <w:r w:rsidR="0020170B" w:rsidRPr="003A15CC">
        <w:rPr>
          <w:sz w:val="28"/>
          <w:szCs w:val="28"/>
        </w:rPr>
        <w:t>вового характера к проекту бюджета</w:t>
      </w:r>
      <w:r w:rsidRPr="003A15CC">
        <w:rPr>
          <w:sz w:val="28"/>
          <w:szCs w:val="28"/>
        </w:rPr>
        <w:t xml:space="preserve"> отсутствуют.</w:t>
      </w:r>
    </w:p>
    <w:p w:rsidR="00107B3D" w:rsidRPr="001B47ED" w:rsidRDefault="00107B3D" w:rsidP="00107B3D">
      <w:pPr>
        <w:pStyle w:val="Default"/>
        <w:ind w:left="705"/>
        <w:jc w:val="center"/>
        <w:rPr>
          <w:b/>
          <w:i/>
          <w:sz w:val="16"/>
          <w:szCs w:val="16"/>
        </w:rPr>
      </w:pPr>
    </w:p>
    <w:p w:rsidR="00107B3D" w:rsidRPr="003A15CC" w:rsidRDefault="00107B3D" w:rsidP="00107B3D">
      <w:pPr>
        <w:pStyle w:val="Default"/>
        <w:ind w:left="705"/>
        <w:jc w:val="center"/>
        <w:rPr>
          <w:b/>
          <w:i/>
          <w:sz w:val="28"/>
          <w:szCs w:val="28"/>
        </w:rPr>
      </w:pPr>
      <w:r w:rsidRPr="003A15CC">
        <w:rPr>
          <w:b/>
          <w:i/>
          <w:sz w:val="28"/>
          <w:szCs w:val="28"/>
        </w:rPr>
        <w:t>Предложения</w:t>
      </w:r>
      <w:r w:rsidR="00AA1C4D">
        <w:rPr>
          <w:b/>
          <w:i/>
          <w:sz w:val="28"/>
          <w:szCs w:val="28"/>
        </w:rPr>
        <w:t xml:space="preserve"> и рекомендации</w:t>
      </w:r>
    </w:p>
    <w:p w:rsidR="00107B3D" w:rsidRDefault="00107B3D" w:rsidP="00107B3D">
      <w:pPr>
        <w:pStyle w:val="Default"/>
        <w:ind w:firstLine="705"/>
        <w:jc w:val="both"/>
        <w:rPr>
          <w:sz w:val="28"/>
          <w:szCs w:val="28"/>
        </w:rPr>
      </w:pPr>
      <w:r w:rsidRPr="003A15CC">
        <w:rPr>
          <w:color w:val="auto"/>
          <w:sz w:val="28"/>
          <w:szCs w:val="28"/>
        </w:rPr>
        <w:t>Привести в соответствии с ч. 2 ст. 179 Б</w:t>
      </w:r>
      <w:r w:rsidR="007B7419">
        <w:rPr>
          <w:color w:val="auto"/>
          <w:sz w:val="28"/>
          <w:szCs w:val="28"/>
        </w:rPr>
        <w:t>К</w:t>
      </w:r>
      <w:r w:rsidRPr="003A15CC">
        <w:rPr>
          <w:color w:val="auto"/>
          <w:sz w:val="28"/>
          <w:szCs w:val="28"/>
        </w:rPr>
        <w:t xml:space="preserve"> РФ паспорта</w:t>
      </w:r>
      <w:r w:rsidRPr="003A15CC">
        <w:rPr>
          <w:bCs/>
          <w:sz w:val="28"/>
          <w:szCs w:val="28"/>
        </w:rPr>
        <w:t xml:space="preserve"> муниципальных программ</w:t>
      </w:r>
      <w:r w:rsidRPr="003A15CC">
        <w:rPr>
          <w:sz w:val="28"/>
          <w:szCs w:val="28"/>
        </w:rPr>
        <w:t>.</w:t>
      </w:r>
    </w:p>
    <w:p w:rsidR="00A96C3E" w:rsidRDefault="00AA1C4D" w:rsidP="007B74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96C3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96C3E" w:rsidRPr="00A96C3E">
        <w:rPr>
          <w:rFonts w:ascii="Times New Roman" w:hAnsi="Times New Roman" w:cs="Times New Roman"/>
          <w:sz w:val="28"/>
          <w:szCs w:val="28"/>
        </w:rPr>
        <w:t>об</w:t>
      </w:r>
      <w:r w:rsidR="00A96C3E">
        <w:rPr>
          <w:rFonts w:ascii="Times New Roman" w:hAnsi="Times New Roman" w:cs="Times New Roman"/>
          <w:sz w:val="28"/>
          <w:szCs w:val="28"/>
        </w:rPr>
        <w:t xml:space="preserve"> оплате труда работников, замещающих должности, не являющиеся должностями муниципальной службы и осуществляющих техническое обеспечение деятельности органов местного самоуправления городского округа Красноуфимск и рабочих отдельных профессий, и младшего обслуживающего персонала, занятых обслуживанием органов местного самоуправления городского округа Красноуфимск.</w:t>
      </w:r>
    </w:p>
    <w:p w:rsidR="00B81E33" w:rsidRDefault="00AD6B0B" w:rsidP="007B74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обосновать суммы</w:t>
      </w:r>
      <w:r w:rsidR="00B81E33">
        <w:rPr>
          <w:rFonts w:ascii="Times New Roman" w:hAnsi="Times New Roman" w:cs="Times New Roman"/>
          <w:sz w:val="28"/>
          <w:szCs w:val="28"/>
        </w:rPr>
        <w:t xml:space="preserve"> доходов от продажи имущества </w:t>
      </w:r>
      <w:r w:rsidR="00C10A41">
        <w:rPr>
          <w:rFonts w:ascii="Times New Roman" w:hAnsi="Times New Roman" w:cs="Times New Roman"/>
          <w:sz w:val="28"/>
          <w:szCs w:val="28"/>
        </w:rPr>
        <w:t>по </w:t>
      </w:r>
      <w:r w:rsidR="00B81E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приватизации.</w:t>
      </w:r>
    </w:p>
    <w:p w:rsidR="00107B3D" w:rsidRPr="003A15CC" w:rsidRDefault="00107B3D" w:rsidP="00107B3D">
      <w:pPr>
        <w:pStyle w:val="Default"/>
        <w:ind w:left="705"/>
        <w:jc w:val="center"/>
        <w:rPr>
          <w:sz w:val="28"/>
          <w:szCs w:val="28"/>
        </w:rPr>
      </w:pPr>
    </w:p>
    <w:p w:rsidR="00107B3D" w:rsidRPr="003A15CC" w:rsidRDefault="00107B3D" w:rsidP="00107B3D">
      <w:pPr>
        <w:pStyle w:val="Default"/>
        <w:ind w:left="705"/>
        <w:jc w:val="center"/>
        <w:rPr>
          <w:b/>
          <w:i/>
          <w:sz w:val="28"/>
          <w:szCs w:val="28"/>
        </w:rPr>
      </w:pPr>
    </w:p>
    <w:p w:rsidR="00107B3D" w:rsidRPr="003A15CC" w:rsidRDefault="00107B3D" w:rsidP="00107B3D">
      <w:pPr>
        <w:pStyle w:val="Default"/>
        <w:jc w:val="both"/>
        <w:rPr>
          <w:sz w:val="28"/>
          <w:szCs w:val="28"/>
        </w:rPr>
      </w:pPr>
      <w:r w:rsidRPr="003A15CC">
        <w:rPr>
          <w:sz w:val="28"/>
          <w:szCs w:val="28"/>
        </w:rPr>
        <w:t xml:space="preserve">Председатель </w:t>
      </w:r>
      <w:r w:rsidR="00661614">
        <w:rPr>
          <w:sz w:val="28"/>
          <w:szCs w:val="28"/>
        </w:rPr>
        <w:t>Р</w:t>
      </w:r>
      <w:r w:rsidRPr="003A15CC">
        <w:rPr>
          <w:sz w:val="28"/>
          <w:szCs w:val="28"/>
        </w:rPr>
        <w:t>евизионной комиссии</w:t>
      </w:r>
    </w:p>
    <w:p w:rsidR="00107B3D" w:rsidRPr="003A15CC" w:rsidRDefault="00107B3D" w:rsidP="00107B3D">
      <w:pPr>
        <w:pStyle w:val="Default"/>
        <w:jc w:val="both"/>
        <w:rPr>
          <w:sz w:val="28"/>
          <w:szCs w:val="28"/>
        </w:rPr>
      </w:pPr>
      <w:r w:rsidRPr="003A15CC">
        <w:rPr>
          <w:sz w:val="28"/>
          <w:szCs w:val="28"/>
        </w:rPr>
        <w:t xml:space="preserve">городского округа Красноуфимск                           </w:t>
      </w:r>
      <w:r w:rsidR="00A950BC">
        <w:rPr>
          <w:sz w:val="28"/>
          <w:szCs w:val="28"/>
        </w:rPr>
        <w:t xml:space="preserve">                 </w:t>
      </w:r>
      <w:r w:rsidRPr="003A15CC">
        <w:rPr>
          <w:sz w:val="28"/>
          <w:szCs w:val="28"/>
        </w:rPr>
        <w:t xml:space="preserve">        </w:t>
      </w:r>
      <w:r w:rsidR="00661614">
        <w:rPr>
          <w:sz w:val="28"/>
          <w:szCs w:val="28"/>
        </w:rPr>
        <w:t>Т.Н. Ширяева</w:t>
      </w:r>
    </w:p>
    <w:p w:rsidR="009F2293" w:rsidRDefault="009F2293" w:rsidP="00107B3D">
      <w:pPr>
        <w:pStyle w:val="Default"/>
        <w:jc w:val="both"/>
        <w:rPr>
          <w:sz w:val="28"/>
          <w:szCs w:val="28"/>
        </w:rPr>
      </w:pPr>
    </w:p>
    <w:p w:rsidR="009F2293" w:rsidRDefault="009F2293" w:rsidP="00107B3D">
      <w:pPr>
        <w:pStyle w:val="Default"/>
        <w:jc w:val="both"/>
        <w:rPr>
          <w:sz w:val="28"/>
          <w:szCs w:val="28"/>
        </w:rPr>
      </w:pPr>
    </w:p>
    <w:p w:rsidR="009F2293" w:rsidRDefault="009F2293" w:rsidP="00107B3D">
      <w:pPr>
        <w:pStyle w:val="Default"/>
        <w:jc w:val="both"/>
        <w:rPr>
          <w:sz w:val="28"/>
          <w:szCs w:val="28"/>
        </w:rPr>
      </w:pPr>
    </w:p>
    <w:p w:rsidR="0010487B" w:rsidRDefault="0010487B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950BC" w:rsidRDefault="00A950BC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950BC" w:rsidRDefault="00A950BC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950BC" w:rsidRDefault="00A950BC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950BC" w:rsidRDefault="00A950BC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950BC" w:rsidRDefault="00A950BC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950BC" w:rsidRDefault="00A950BC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950BC" w:rsidRDefault="00A950BC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0487B" w:rsidRDefault="0010487B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0487B" w:rsidRDefault="0010487B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0487B" w:rsidRDefault="0010487B" w:rsidP="009F2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0487B" w:rsidSect="00616A7F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1658"/>
        <w:gridCol w:w="1312"/>
        <w:gridCol w:w="1291"/>
        <w:gridCol w:w="1022"/>
        <w:gridCol w:w="1025"/>
        <w:gridCol w:w="1166"/>
        <w:gridCol w:w="1083"/>
        <w:gridCol w:w="633"/>
        <w:gridCol w:w="1166"/>
        <w:gridCol w:w="983"/>
        <w:gridCol w:w="654"/>
        <w:gridCol w:w="1166"/>
        <w:gridCol w:w="917"/>
        <w:gridCol w:w="710"/>
      </w:tblGrid>
      <w:tr w:rsidR="0010487B" w:rsidRPr="0010487B" w:rsidTr="0010487B">
        <w:trPr>
          <w:trHeight w:val="3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87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10487B" w:rsidRPr="0010487B" w:rsidTr="0010487B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87B" w:rsidRPr="0064170B" w:rsidRDefault="0010487B" w:rsidP="001048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бюджета в разрезе видов доходов</w:t>
            </w:r>
          </w:p>
        </w:tc>
      </w:tr>
      <w:tr w:rsidR="0010487B" w:rsidRPr="0010487B" w:rsidTr="0010487B">
        <w:trPr>
          <w:trHeight w:val="31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7B" w:rsidRPr="0010487B" w:rsidRDefault="0010487B" w:rsidP="001048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7B" w:rsidRPr="0010487B" w:rsidTr="0010487B">
        <w:trPr>
          <w:trHeight w:val="90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2017 года, тыс. руб.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исполнения 2018 года, тыс. руб.</w:t>
            </w:r>
          </w:p>
        </w:tc>
        <w:tc>
          <w:tcPr>
            <w:tcW w:w="69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(снижение) 2018 года к 2017 году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>Проект 2019 года, тыс. руб.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(снижение) 2019 года к 2018 году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>Проект 2020 года, тыс. руб.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(снижение) 2020 года к 2019 году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sz w:val="20"/>
                <w:szCs w:val="20"/>
              </w:rPr>
              <w:t>Проект 2021 года, тыс. руб.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(снижение) 2021 года к 2020 году</w:t>
            </w:r>
          </w:p>
        </w:tc>
      </w:tr>
      <w:tr w:rsidR="0010487B" w:rsidRPr="0010487B" w:rsidTr="0010487B">
        <w:trPr>
          <w:trHeight w:val="60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104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0487B" w:rsidRPr="0010487B" w:rsidTr="0010487B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3E56C6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487B" w:rsidRPr="0010487B" w:rsidTr="0010487B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401 083,2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439 956,1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38 872,9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435 013,0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-4 943,1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459 739,0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24 726,0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468 567,0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8 828,0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10487B" w:rsidRPr="0010487B" w:rsidTr="0010487B">
        <w:trPr>
          <w:trHeight w:val="6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65 774,8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52 103,6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-13 671,2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54 175,2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2 071,6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43 840,0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-10 335,2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41 579,1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-2 260,9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-5,2</w:t>
            </w:r>
          </w:p>
        </w:tc>
      </w:tr>
      <w:tr w:rsidR="0010487B" w:rsidRPr="0010487B" w:rsidTr="0010487B">
        <w:trPr>
          <w:trHeight w:val="109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466 858,0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492 059,7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25 201,7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489 188,2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-2 871,5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503 579,0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510 146,1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6 567,1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10487B" w:rsidRPr="0010487B" w:rsidTr="0010487B">
        <w:trPr>
          <w:trHeight w:val="600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737 108,2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925 221,0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188 112,8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770 582,2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-154 638,8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728 030,6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-42 551,6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sz w:val="20"/>
                <w:szCs w:val="20"/>
              </w:rPr>
              <w:t>782 243,9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54 213,3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10487B" w:rsidRPr="0010487B" w:rsidTr="0010487B">
        <w:trPr>
          <w:trHeight w:val="660"/>
        </w:trPr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1 203 966,2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1 417 280,7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213 314,5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1 259 770,4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-157 510,3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-11,1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1 231 609,6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-28 160,8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-2,2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1 292 390,0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60 780,4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87B" w:rsidRPr="0010487B" w:rsidRDefault="0010487B" w:rsidP="003E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</w:tr>
    </w:tbl>
    <w:p w:rsidR="00FE2A04" w:rsidRDefault="00FE2A04" w:rsidP="00FE2A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2A04" w:rsidRDefault="00FE2A04" w:rsidP="00FE2A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87B" w:rsidRDefault="0010487B" w:rsidP="00FE2A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7486" w:rsidRDefault="00597486" w:rsidP="00FE2A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87B" w:rsidRDefault="0010487B" w:rsidP="00FE2A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87B" w:rsidRDefault="0010487B" w:rsidP="00FE2A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170B" w:rsidRDefault="0064170B" w:rsidP="00434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64170B" w:rsidRPr="0064170B" w:rsidRDefault="0064170B" w:rsidP="00434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0B">
        <w:rPr>
          <w:rFonts w:ascii="Times New Roman" w:hAnsi="Times New Roman" w:cs="Times New Roman"/>
          <w:b/>
          <w:sz w:val="28"/>
          <w:szCs w:val="28"/>
        </w:rPr>
        <w:t>Анализ расходов</w:t>
      </w:r>
    </w:p>
    <w:tbl>
      <w:tblPr>
        <w:tblW w:w="5000" w:type="pct"/>
        <w:tblLook w:val="04A0"/>
      </w:tblPr>
      <w:tblGrid>
        <w:gridCol w:w="876"/>
        <w:gridCol w:w="2150"/>
        <w:gridCol w:w="1659"/>
        <w:gridCol w:w="1295"/>
        <w:gridCol w:w="1405"/>
        <w:gridCol w:w="1348"/>
        <w:gridCol w:w="1177"/>
        <w:gridCol w:w="1026"/>
        <w:gridCol w:w="1177"/>
        <w:gridCol w:w="1177"/>
        <w:gridCol w:w="1496"/>
      </w:tblGrid>
      <w:tr w:rsidR="0010487B" w:rsidRPr="00434A98" w:rsidTr="0010487B">
        <w:trPr>
          <w:trHeight w:val="30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Проект решения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Отклонение проекта решения 2019 года от ожидаемого исполнения 2018 года</w:t>
            </w:r>
          </w:p>
        </w:tc>
      </w:tr>
      <w:tr w:rsidR="0010487B" w:rsidRPr="00434A98" w:rsidTr="0010487B">
        <w:trPr>
          <w:trHeight w:val="30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Уточненный бюджет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Исполнено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Уточненный план на 18.10.2018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Ожидаемое исполнение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Доля в общем объеме, %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0487B" w:rsidRPr="00434A98" w:rsidTr="0064170B">
        <w:trPr>
          <w:trHeight w:val="96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0487B" w:rsidRPr="00434A98" w:rsidTr="0064170B">
        <w:trPr>
          <w:trHeight w:val="527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91 357,3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86 331,7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93 131,0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89 926,7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100 822,8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104 458,0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103 449,4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10 896,1</w:t>
            </w:r>
          </w:p>
        </w:tc>
      </w:tr>
      <w:tr w:rsidR="0010487B" w:rsidRPr="00434A98" w:rsidTr="0064170B">
        <w:trPr>
          <w:trHeight w:val="974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5 134,5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5 190,5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7 859,5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7 927,6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8 453,1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8 814,1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9 148,0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525,5</w:t>
            </w:r>
          </w:p>
        </w:tc>
      </w:tr>
      <w:tr w:rsidR="0010487B" w:rsidRPr="00434A98" w:rsidTr="0064170B">
        <w:trPr>
          <w:trHeight w:val="42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115 440,6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84 476,2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188 056,7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185 400,4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74 430,4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34 013,6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35 316,7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-110 970,0</w:t>
            </w:r>
          </w:p>
        </w:tc>
      </w:tr>
      <w:tr w:rsidR="0010487B" w:rsidRPr="00434A98" w:rsidTr="0064170B">
        <w:trPr>
          <w:trHeight w:val="6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75 596,7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61 640,2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144 366,1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95 717,5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34 338,8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28 679,2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27 671,7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-61 378,7</w:t>
            </w:r>
          </w:p>
        </w:tc>
      </w:tr>
      <w:tr w:rsidR="0010487B" w:rsidRPr="00434A98" w:rsidTr="0064170B">
        <w:trPr>
          <w:trHeight w:val="239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711 205,3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708 920,4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816 485,1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815 139,3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800 207,8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770 042,6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806 912,6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-14 931,5</w:t>
            </w:r>
          </w:p>
        </w:tc>
      </w:tr>
      <w:tr w:rsidR="0010487B" w:rsidRPr="00434A98" w:rsidTr="0064170B">
        <w:trPr>
          <w:trHeight w:val="413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92 317,9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92 785,2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93 572,9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93 256,8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99 409,0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103 326,1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108 716,6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6 152,2</w:t>
            </w:r>
          </w:p>
        </w:tc>
      </w:tr>
      <w:tr w:rsidR="0010487B" w:rsidRPr="00434A98" w:rsidTr="0064170B">
        <w:trPr>
          <w:trHeight w:val="2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116 283,6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93 829,3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109 859,8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105 472,8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113 638,8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103 628,8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103 741,8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8 166,0</w:t>
            </w:r>
          </w:p>
        </w:tc>
      </w:tr>
      <w:tr w:rsidR="0010487B" w:rsidRPr="00434A98" w:rsidTr="0064170B">
        <w:trPr>
          <w:trHeight w:val="42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46 303,7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46 735,8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51 262,8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51 518,0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48 316,7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47 707,9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49 566,4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-3 201,3</w:t>
            </w:r>
          </w:p>
        </w:tc>
      </w:tr>
      <w:tr w:rsidR="0010487B" w:rsidRPr="00434A98" w:rsidTr="0010487B">
        <w:trPr>
          <w:trHeight w:val="51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1 104,8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1 104,8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1 096,9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1 097,0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1 132,7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1 187,6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1 235,1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35,7</w:t>
            </w:r>
          </w:p>
        </w:tc>
      </w:tr>
      <w:tr w:rsidR="0010487B" w:rsidRPr="00434A98" w:rsidTr="0010487B">
        <w:trPr>
          <w:trHeight w:val="9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Обслуживание государственного и муниципального долга.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1 994,3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2 069,9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749,1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749,1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1 984,5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2 846,6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1 741,3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1 235,4</w:t>
            </w:r>
          </w:p>
        </w:tc>
      </w:tr>
      <w:tr w:rsidR="0010487B" w:rsidRPr="00434A98" w:rsidTr="0010487B">
        <w:trPr>
          <w:trHeight w:val="345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Условно утвержденный</w:t>
            </w:r>
            <w:r w:rsid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расходы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42 214,0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52 544,3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10487B" w:rsidRPr="00434A98" w:rsidTr="0010487B">
        <w:trPr>
          <w:trHeight w:val="420"/>
        </w:trPr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 расходов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1 256 738,7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1 183 084,0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1 506 439,9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1 446 205,2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1 282 734,6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1 246 918,5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1 300 043,9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7B" w:rsidRPr="00434A98" w:rsidRDefault="0010487B" w:rsidP="001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34A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-163 470,6</w:t>
            </w:r>
          </w:p>
        </w:tc>
      </w:tr>
    </w:tbl>
    <w:p w:rsidR="00434A98" w:rsidRDefault="00434A98" w:rsidP="00FE2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A98" w:rsidRDefault="00434A98" w:rsidP="00FE2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A98" w:rsidRDefault="00434A98" w:rsidP="00FE2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A98" w:rsidRDefault="00434A98" w:rsidP="00FE2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A04" w:rsidRDefault="00FE2A04" w:rsidP="00FE2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0487B">
        <w:rPr>
          <w:rFonts w:ascii="Times New Roman" w:hAnsi="Times New Roman" w:cs="Times New Roman"/>
          <w:sz w:val="24"/>
          <w:szCs w:val="24"/>
        </w:rPr>
        <w:t>иложение № 3</w:t>
      </w:r>
    </w:p>
    <w:p w:rsidR="000208CE" w:rsidRPr="0064170B" w:rsidRDefault="0070351C" w:rsidP="00FE2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0B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0208CE" w:rsidRPr="0064170B">
        <w:rPr>
          <w:rFonts w:ascii="Times New Roman" w:hAnsi="Times New Roman" w:cs="Times New Roman"/>
          <w:b/>
          <w:sz w:val="28"/>
          <w:szCs w:val="28"/>
        </w:rPr>
        <w:t>асход</w:t>
      </w:r>
      <w:r w:rsidRPr="0064170B">
        <w:rPr>
          <w:rFonts w:ascii="Times New Roman" w:hAnsi="Times New Roman" w:cs="Times New Roman"/>
          <w:b/>
          <w:sz w:val="28"/>
          <w:szCs w:val="28"/>
        </w:rPr>
        <w:t>ов по муниципальным программам</w:t>
      </w:r>
    </w:p>
    <w:tbl>
      <w:tblPr>
        <w:tblpPr w:leftFromText="180" w:rightFromText="180" w:horzAnchor="margin" w:tblpY="1226"/>
        <w:tblW w:w="15544" w:type="dxa"/>
        <w:tblLook w:val="04A0"/>
      </w:tblPr>
      <w:tblGrid>
        <w:gridCol w:w="723"/>
        <w:gridCol w:w="4679"/>
        <w:gridCol w:w="1559"/>
        <w:gridCol w:w="1559"/>
        <w:gridCol w:w="1276"/>
        <w:gridCol w:w="1276"/>
        <w:gridCol w:w="1276"/>
        <w:gridCol w:w="1276"/>
        <w:gridCol w:w="1920"/>
      </w:tblGrid>
      <w:tr w:rsidR="00FE2A04" w:rsidRPr="002641D6" w:rsidTr="0064170B">
        <w:trPr>
          <w:trHeight w:val="28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Отклонение проекта на2019 года от  уточненного плана на 2018 год</w:t>
            </w:r>
          </w:p>
        </w:tc>
      </w:tr>
      <w:tr w:rsidR="00FE2A04" w:rsidRPr="002641D6" w:rsidTr="0064170B">
        <w:trPr>
          <w:trHeight w:val="9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 план на 21.11.2018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 на 21.11.2018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A04" w:rsidRPr="002641D6" w:rsidTr="0064170B">
        <w:trPr>
          <w:trHeight w:val="69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и обеспечение эффективности деятельности администрации городского округа Красноуфимск в 2014-2024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74 544,7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-16 653,7</w:t>
            </w:r>
          </w:p>
        </w:tc>
      </w:tr>
      <w:tr w:rsidR="00FE2A04" w:rsidRPr="002641D6" w:rsidTr="0064170B">
        <w:trPr>
          <w:trHeight w:val="9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и модернизация жилищно-коммунального и дорожного хозяйства городского округа Красноуфимск на 2014-2024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367 754,1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167 321,6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-151 157,1</w:t>
            </w:r>
          </w:p>
        </w:tc>
      </w:tr>
      <w:tr w:rsidR="00FE2A04" w:rsidRPr="002641D6" w:rsidTr="0064170B">
        <w:trPr>
          <w:trHeight w:val="6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городского округа Красноуфимск в 2014-2024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12 719,6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988,8</w:t>
            </w:r>
          </w:p>
        </w:tc>
      </w:tr>
      <w:tr w:rsidR="00FE2A04" w:rsidRPr="002641D6" w:rsidTr="0064170B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муниципальной собственностью городского круга Красноуфимск в 2014-2024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13 187,7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-31 724,2</w:t>
            </w:r>
          </w:p>
        </w:tc>
      </w:tr>
      <w:tr w:rsidR="00FE2A04" w:rsidRPr="002641D6" w:rsidTr="0064170B">
        <w:trPr>
          <w:trHeight w:val="5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системы образования в городском округе Красноуфимск в 2014-2024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771 048,9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773 817,1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-6 836,9</w:t>
            </w:r>
          </w:p>
        </w:tc>
      </w:tr>
      <w:tr w:rsidR="00FE2A04" w:rsidRPr="002641D6" w:rsidTr="0064170B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молодежной политики в городском округе Красноуфимск на 2014-2024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12 230,1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-211,5</w:t>
            </w:r>
          </w:p>
        </w:tc>
      </w:tr>
      <w:tr w:rsidR="00FE2A04" w:rsidRPr="002641D6" w:rsidTr="0064170B">
        <w:trPr>
          <w:trHeight w:val="5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 городского округа Красноуфимск в 2014-2024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116 665,1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129 582,0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2 015,3</w:t>
            </w:r>
          </w:p>
        </w:tc>
      </w:tr>
      <w:tr w:rsidR="00FE2A04" w:rsidRPr="002641D6" w:rsidTr="0064170B">
        <w:trPr>
          <w:trHeight w:val="7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физической культуры и спорта городского округа Красноуфимск в 2014-2024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49 566,4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-4 932,5</w:t>
            </w:r>
          </w:p>
        </w:tc>
      </w:tr>
      <w:tr w:rsidR="00FE2A04" w:rsidRPr="002641D6" w:rsidTr="0064170B">
        <w:trPr>
          <w:trHeight w:val="5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«Социальная поддержка населения городского округа Красноуфимск» на 2016-2022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-101,3</w:t>
            </w:r>
          </w:p>
        </w:tc>
      </w:tr>
      <w:tr w:rsidR="00FE2A04" w:rsidRPr="002641D6" w:rsidTr="0064170B">
        <w:trPr>
          <w:trHeight w:val="7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безопасности жизнедеятельности населения городского округа Красноуфимск» на 2016-2022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FE2A04" w:rsidRPr="002641D6" w:rsidTr="0064170B">
        <w:trPr>
          <w:trHeight w:val="5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«Формирование современной городской среды на территории городского округа Красноуфимск на 2018-2022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1 332,0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-17 655,6</w:t>
            </w:r>
          </w:p>
        </w:tc>
      </w:tr>
      <w:tr w:rsidR="00FE2A04" w:rsidRPr="002641D6" w:rsidTr="0064170B">
        <w:trPr>
          <w:trHeight w:val="2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1 276 164,8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1 273 976,5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1 194 496,4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1 237 936,5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04" w:rsidRPr="002641D6" w:rsidRDefault="00FE2A04" w:rsidP="0064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-226 186,7</w:t>
            </w:r>
          </w:p>
        </w:tc>
      </w:tr>
    </w:tbl>
    <w:p w:rsidR="009F2293" w:rsidRPr="00FE2A04" w:rsidRDefault="009F2293" w:rsidP="00107B3D">
      <w:pPr>
        <w:pStyle w:val="Default"/>
        <w:jc w:val="both"/>
        <w:rPr>
          <w:sz w:val="22"/>
          <w:szCs w:val="22"/>
        </w:rPr>
      </w:pPr>
    </w:p>
    <w:sectPr w:rsidR="009F2293" w:rsidRPr="00FE2A04" w:rsidSect="00FE2A04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83" w:rsidRDefault="005F5E83" w:rsidP="00106802">
      <w:pPr>
        <w:spacing w:after="0" w:line="240" w:lineRule="auto"/>
      </w:pPr>
      <w:r>
        <w:separator/>
      </w:r>
    </w:p>
  </w:endnote>
  <w:endnote w:type="continuationSeparator" w:id="1">
    <w:p w:rsidR="005F5E83" w:rsidRDefault="005F5E83" w:rsidP="001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83" w:rsidRDefault="005F5E83" w:rsidP="00106802">
      <w:pPr>
        <w:spacing w:after="0" w:line="240" w:lineRule="auto"/>
      </w:pPr>
      <w:r>
        <w:separator/>
      </w:r>
    </w:p>
  </w:footnote>
  <w:footnote w:type="continuationSeparator" w:id="1">
    <w:p w:rsidR="005F5E83" w:rsidRDefault="005F5E83" w:rsidP="0010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58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15FCE" w:rsidRPr="00127A8E" w:rsidRDefault="00515FCE">
        <w:pPr>
          <w:pStyle w:val="a5"/>
          <w:jc w:val="center"/>
          <w:rPr>
            <w:rFonts w:ascii="Times New Roman" w:hAnsi="Times New Roman"/>
          </w:rPr>
        </w:pPr>
        <w:r w:rsidRPr="00127A8E">
          <w:rPr>
            <w:rFonts w:ascii="Times New Roman" w:hAnsi="Times New Roman"/>
          </w:rPr>
          <w:fldChar w:fldCharType="begin"/>
        </w:r>
        <w:r w:rsidRPr="00127A8E">
          <w:rPr>
            <w:rFonts w:ascii="Times New Roman" w:hAnsi="Times New Roman"/>
          </w:rPr>
          <w:instrText xml:space="preserve"> PAGE   \* MERGEFORMAT </w:instrText>
        </w:r>
        <w:r w:rsidRPr="00127A8E">
          <w:rPr>
            <w:rFonts w:ascii="Times New Roman" w:hAnsi="Times New Roman"/>
          </w:rPr>
          <w:fldChar w:fldCharType="separate"/>
        </w:r>
        <w:r w:rsidR="00A950BC">
          <w:rPr>
            <w:rFonts w:ascii="Times New Roman" w:hAnsi="Times New Roman"/>
            <w:noProof/>
          </w:rPr>
          <w:t>20</w:t>
        </w:r>
        <w:r w:rsidRPr="00127A8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856"/>
    <w:multiLevelType w:val="hybridMultilevel"/>
    <w:tmpl w:val="7C30D5BE"/>
    <w:lvl w:ilvl="0" w:tplc="B28AE302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90689"/>
    <w:multiLevelType w:val="hybridMultilevel"/>
    <w:tmpl w:val="542EBBFC"/>
    <w:lvl w:ilvl="0" w:tplc="B41C23CA">
      <w:start w:val="5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C559F"/>
    <w:multiLevelType w:val="hybridMultilevel"/>
    <w:tmpl w:val="E5740F3A"/>
    <w:lvl w:ilvl="0" w:tplc="3A60DEC6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DA5711"/>
    <w:multiLevelType w:val="hybridMultilevel"/>
    <w:tmpl w:val="DB865B38"/>
    <w:lvl w:ilvl="0" w:tplc="C16E0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F5422F"/>
    <w:multiLevelType w:val="hybridMultilevel"/>
    <w:tmpl w:val="19B8F80E"/>
    <w:lvl w:ilvl="0" w:tplc="DF207C18">
      <w:start w:val="5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C812C9"/>
    <w:multiLevelType w:val="hybridMultilevel"/>
    <w:tmpl w:val="F3DCE688"/>
    <w:lvl w:ilvl="0" w:tplc="8258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01A32"/>
    <w:multiLevelType w:val="hybridMultilevel"/>
    <w:tmpl w:val="D002760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C67B5"/>
    <w:multiLevelType w:val="hybridMultilevel"/>
    <w:tmpl w:val="3D206F14"/>
    <w:lvl w:ilvl="0" w:tplc="E47C28B0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935"/>
    <w:rsid w:val="00010EED"/>
    <w:rsid w:val="000208CE"/>
    <w:rsid w:val="00025FB9"/>
    <w:rsid w:val="0002761A"/>
    <w:rsid w:val="00031FF6"/>
    <w:rsid w:val="00036672"/>
    <w:rsid w:val="000435A3"/>
    <w:rsid w:val="00044D5E"/>
    <w:rsid w:val="00053BB2"/>
    <w:rsid w:val="0006097B"/>
    <w:rsid w:val="00084DF0"/>
    <w:rsid w:val="000C0685"/>
    <w:rsid w:val="000C2D52"/>
    <w:rsid w:val="000D2E04"/>
    <w:rsid w:val="000D5B02"/>
    <w:rsid w:val="000F3C82"/>
    <w:rsid w:val="00102DEB"/>
    <w:rsid w:val="0010487B"/>
    <w:rsid w:val="00106802"/>
    <w:rsid w:val="00107785"/>
    <w:rsid w:val="00107B3D"/>
    <w:rsid w:val="00110A97"/>
    <w:rsid w:val="00117E96"/>
    <w:rsid w:val="00127A8E"/>
    <w:rsid w:val="0013064C"/>
    <w:rsid w:val="00132BF5"/>
    <w:rsid w:val="00142868"/>
    <w:rsid w:val="0015233A"/>
    <w:rsid w:val="001532B8"/>
    <w:rsid w:val="0015522C"/>
    <w:rsid w:val="00164150"/>
    <w:rsid w:val="0017093D"/>
    <w:rsid w:val="00171239"/>
    <w:rsid w:val="001764DB"/>
    <w:rsid w:val="001A158F"/>
    <w:rsid w:val="001A5BE8"/>
    <w:rsid w:val="001B07FC"/>
    <w:rsid w:val="001B24EF"/>
    <w:rsid w:val="001B342F"/>
    <w:rsid w:val="001B47ED"/>
    <w:rsid w:val="001C1FB7"/>
    <w:rsid w:val="001C6A6F"/>
    <w:rsid w:val="001D39A1"/>
    <w:rsid w:val="001D48F0"/>
    <w:rsid w:val="001D7867"/>
    <w:rsid w:val="001E617F"/>
    <w:rsid w:val="0020170B"/>
    <w:rsid w:val="00226935"/>
    <w:rsid w:val="00263CFD"/>
    <w:rsid w:val="002641D6"/>
    <w:rsid w:val="00264FFD"/>
    <w:rsid w:val="00273ED2"/>
    <w:rsid w:val="00285873"/>
    <w:rsid w:val="00295037"/>
    <w:rsid w:val="00296BA1"/>
    <w:rsid w:val="002A3A84"/>
    <w:rsid w:val="002E1375"/>
    <w:rsid w:val="002F2655"/>
    <w:rsid w:val="00300675"/>
    <w:rsid w:val="00311A2E"/>
    <w:rsid w:val="00321099"/>
    <w:rsid w:val="00324367"/>
    <w:rsid w:val="0032693E"/>
    <w:rsid w:val="0033169B"/>
    <w:rsid w:val="003371E7"/>
    <w:rsid w:val="00346A1F"/>
    <w:rsid w:val="00346AF4"/>
    <w:rsid w:val="0036671A"/>
    <w:rsid w:val="00371205"/>
    <w:rsid w:val="0039200B"/>
    <w:rsid w:val="003A15CC"/>
    <w:rsid w:val="003D1F1A"/>
    <w:rsid w:val="003E3BB5"/>
    <w:rsid w:val="003E56C6"/>
    <w:rsid w:val="003E63DA"/>
    <w:rsid w:val="00426507"/>
    <w:rsid w:val="00431BC8"/>
    <w:rsid w:val="00434A98"/>
    <w:rsid w:val="004366E5"/>
    <w:rsid w:val="00437A8E"/>
    <w:rsid w:val="00442DE4"/>
    <w:rsid w:val="00463716"/>
    <w:rsid w:val="004A44B3"/>
    <w:rsid w:val="004B3862"/>
    <w:rsid w:val="004B41AF"/>
    <w:rsid w:val="004B7FB6"/>
    <w:rsid w:val="004C1A12"/>
    <w:rsid w:val="004C5488"/>
    <w:rsid w:val="004D2147"/>
    <w:rsid w:val="004E2C13"/>
    <w:rsid w:val="004F13CE"/>
    <w:rsid w:val="004F2BF8"/>
    <w:rsid w:val="00500CE2"/>
    <w:rsid w:val="00504954"/>
    <w:rsid w:val="005069A9"/>
    <w:rsid w:val="00511C0E"/>
    <w:rsid w:val="00511E98"/>
    <w:rsid w:val="00513014"/>
    <w:rsid w:val="00515FCE"/>
    <w:rsid w:val="005164D5"/>
    <w:rsid w:val="005171F0"/>
    <w:rsid w:val="00520020"/>
    <w:rsid w:val="0053687B"/>
    <w:rsid w:val="00554756"/>
    <w:rsid w:val="00555DC5"/>
    <w:rsid w:val="00560C83"/>
    <w:rsid w:val="00570933"/>
    <w:rsid w:val="00586091"/>
    <w:rsid w:val="005870F1"/>
    <w:rsid w:val="005948EB"/>
    <w:rsid w:val="00597486"/>
    <w:rsid w:val="005A17EC"/>
    <w:rsid w:val="005A31DE"/>
    <w:rsid w:val="005B0058"/>
    <w:rsid w:val="005B0F61"/>
    <w:rsid w:val="005B145B"/>
    <w:rsid w:val="005B46E2"/>
    <w:rsid w:val="005C10B9"/>
    <w:rsid w:val="005E2BEE"/>
    <w:rsid w:val="005E47F2"/>
    <w:rsid w:val="005F59B8"/>
    <w:rsid w:val="005F5E83"/>
    <w:rsid w:val="0060330C"/>
    <w:rsid w:val="00613DBE"/>
    <w:rsid w:val="00616A7F"/>
    <w:rsid w:val="00624046"/>
    <w:rsid w:val="0062768C"/>
    <w:rsid w:val="0064170B"/>
    <w:rsid w:val="00644D0C"/>
    <w:rsid w:val="00653B62"/>
    <w:rsid w:val="00661614"/>
    <w:rsid w:val="00674286"/>
    <w:rsid w:val="006815B3"/>
    <w:rsid w:val="006831BF"/>
    <w:rsid w:val="006B3458"/>
    <w:rsid w:val="006B3E1C"/>
    <w:rsid w:val="006F15D0"/>
    <w:rsid w:val="006F3657"/>
    <w:rsid w:val="0070351C"/>
    <w:rsid w:val="00713BE3"/>
    <w:rsid w:val="00731D66"/>
    <w:rsid w:val="007757F5"/>
    <w:rsid w:val="007A285D"/>
    <w:rsid w:val="007A5851"/>
    <w:rsid w:val="007B4A13"/>
    <w:rsid w:val="007B7419"/>
    <w:rsid w:val="007C2A5C"/>
    <w:rsid w:val="007C5070"/>
    <w:rsid w:val="007F56AF"/>
    <w:rsid w:val="00800B75"/>
    <w:rsid w:val="00807F87"/>
    <w:rsid w:val="00840C8E"/>
    <w:rsid w:val="008518E6"/>
    <w:rsid w:val="008670E4"/>
    <w:rsid w:val="00871B26"/>
    <w:rsid w:val="0088294A"/>
    <w:rsid w:val="00884341"/>
    <w:rsid w:val="00885B49"/>
    <w:rsid w:val="00892CF3"/>
    <w:rsid w:val="00892E15"/>
    <w:rsid w:val="00893187"/>
    <w:rsid w:val="008966F9"/>
    <w:rsid w:val="008B29FA"/>
    <w:rsid w:val="008B6AA8"/>
    <w:rsid w:val="008D2F9F"/>
    <w:rsid w:val="008E7F78"/>
    <w:rsid w:val="00927225"/>
    <w:rsid w:val="009278DE"/>
    <w:rsid w:val="009407B3"/>
    <w:rsid w:val="00940918"/>
    <w:rsid w:val="0097007D"/>
    <w:rsid w:val="00977CF9"/>
    <w:rsid w:val="00987CC1"/>
    <w:rsid w:val="009A4D7D"/>
    <w:rsid w:val="009C078B"/>
    <w:rsid w:val="009F2293"/>
    <w:rsid w:val="009F4A21"/>
    <w:rsid w:val="009F6D35"/>
    <w:rsid w:val="00A114AB"/>
    <w:rsid w:val="00A13515"/>
    <w:rsid w:val="00A240EA"/>
    <w:rsid w:val="00A306CA"/>
    <w:rsid w:val="00A45A94"/>
    <w:rsid w:val="00A66F39"/>
    <w:rsid w:val="00A75DAC"/>
    <w:rsid w:val="00A83324"/>
    <w:rsid w:val="00A8651D"/>
    <w:rsid w:val="00A938D9"/>
    <w:rsid w:val="00A950BC"/>
    <w:rsid w:val="00A96C3E"/>
    <w:rsid w:val="00AA1C4D"/>
    <w:rsid w:val="00AA57C2"/>
    <w:rsid w:val="00AB7372"/>
    <w:rsid w:val="00AD4947"/>
    <w:rsid w:val="00AD6502"/>
    <w:rsid w:val="00AD6B0B"/>
    <w:rsid w:val="00B0161A"/>
    <w:rsid w:val="00B103AD"/>
    <w:rsid w:val="00B11130"/>
    <w:rsid w:val="00B14A08"/>
    <w:rsid w:val="00B21068"/>
    <w:rsid w:val="00B2553A"/>
    <w:rsid w:val="00B302AE"/>
    <w:rsid w:val="00B60A7F"/>
    <w:rsid w:val="00B73C3B"/>
    <w:rsid w:val="00B762CB"/>
    <w:rsid w:val="00B81AA3"/>
    <w:rsid w:val="00B81E33"/>
    <w:rsid w:val="00B94A01"/>
    <w:rsid w:val="00BB2D59"/>
    <w:rsid w:val="00BB4AA7"/>
    <w:rsid w:val="00BC4CF7"/>
    <w:rsid w:val="00BF67F8"/>
    <w:rsid w:val="00BF71A9"/>
    <w:rsid w:val="00C0168A"/>
    <w:rsid w:val="00C01B3B"/>
    <w:rsid w:val="00C01E11"/>
    <w:rsid w:val="00C02B10"/>
    <w:rsid w:val="00C03D18"/>
    <w:rsid w:val="00C04DA9"/>
    <w:rsid w:val="00C10A41"/>
    <w:rsid w:val="00C15AAC"/>
    <w:rsid w:val="00C161C5"/>
    <w:rsid w:val="00C24278"/>
    <w:rsid w:val="00C27C70"/>
    <w:rsid w:val="00C37EEB"/>
    <w:rsid w:val="00C40FC8"/>
    <w:rsid w:val="00C56786"/>
    <w:rsid w:val="00C729AB"/>
    <w:rsid w:val="00C75D32"/>
    <w:rsid w:val="00C83199"/>
    <w:rsid w:val="00C83B2F"/>
    <w:rsid w:val="00C84798"/>
    <w:rsid w:val="00C927D8"/>
    <w:rsid w:val="00CB55EE"/>
    <w:rsid w:val="00CC664D"/>
    <w:rsid w:val="00CD2E71"/>
    <w:rsid w:val="00D17BA7"/>
    <w:rsid w:val="00D20680"/>
    <w:rsid w:val="00D22972"/>
    <w:rsid w:val="00D30A0F"/>
    <w:rsid w:val="00D61B9F"/>
    <w:rsid w:val="00DA2D59"/>
    <w:rsid w:val="00DA57B3"/>
    <w:rsid w:val="00DA6E43"/>
    <w:rsid w:val="00DA7A79"/>
    <w:rsid w:val="00DD6D96"/>
    <w:rsid w:val="00DD6EFF"/>
    <w:rsid w:val="00DF38E7"/>
    <w:rsid w:val="00DF68D8"/>
    <w:rsid w:val="00E07A46"/>
    <w:rsid w:val="00E4707A"/>
    <w:rsid w:val="00E723B9"/>
    <w:rsid w:val="00E730A0"/>
    <w:rsid w:val="00E74CB7"/>
    <w:rsid w:val="00E74DDC"/>
    <w:rsid w:val="00E87DC5"/>
    <w:rsid w:val="00E949EC"/>
    <w:rsid w:val="00EA2516"/>
    <w:rsid w:val="00EA67F1"/>
    <w:rsid w:val="00EC2C56"/>
    <w:rsid w:val="00EC49F3"/>
    <w:rsid w:val="00EC6712"/>
    <w:rsid w:val="00EC7E99"/>
    <w:rsid w:val="00EE4350"/>
    <w:rsid w:val="00EF316E"/>
    <w:rsid w:val="00EF31C5"/>
    <w:rsid w:val="00F249BB"/>
    <w:rsid w:val="00F37403"/>
    <w:rsid w:val="00F47625"/>
    <w:rsid w:val="00F47B29"/>
    <w:rsid w:val="00F52D90"/>
    <w:rsid w:val="00F64C1F"/>
    <w:rsid w:val="00F72F15"/>
    <w:rsid w:val="00FA42BC"/>
    <w:rsid w:val="00FA5B1A"/>
    <w:rsid w:val="00FB0AFE"/>
    <w:rsid w:val="00FC6961"/>
    <w:rsid w:val="00FE2A04"/>
    <w:rsid w:val="00FE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60A7F"/>
    <w:rPr>
      <w:rFonts w:ascii="Arial" w:hAnsi="Arial" w:cs="Arial"/>
    </w:rPr>
  </w:style>
  <w:style w:type="paragraph" w:customStyle="1" w:styleId="ConsPlusNormal0">
    <w:name w:val="ConsPlusNormal"/>
    <w:link w:val="ConsPlusNormal"/>
    <w:rsid w:val="00B60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06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80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105ptNotItalic">
    <w:name w:val="Body text (2) + 10.5 pt;Not Italic"/>
    <w:basedOn w:val="a0"/>
    <w:rsid w:val="001068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802"/>
  </w:style>
  <w:style w:type="paragraph" w:styleId="a7">
    <w:name w:val="footer"/>
    <w:basedOn w:val="a"/>
    <w:link w:val="a8"/>
    <w:uiPriority w:val="99"/>
    <w:unhideWhenUsed/>
    <w:rsid w:val="001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802"/>
  </w:style>
  <w:style w:type="paragraph" w:styleId="a9">
    <w:name w:val="Balloon Text"/>
    <w:basedOn w:val="a"/>
    <w:link w:val="aa"/>
    <w:uiPriority w:val="99"/>
    <w:semiHidden/>
    <w:unhideWhenUsed/>
    <w:rsid w:val="001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A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1C6A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6A6F"/>
    <w:pPr>
      <w:widowControl w:val="0"/>
      <w:shd w:val="clear" w:color="auto" w:fill="FFFFFF"/>
      <w:spacing w:after="3300" w:line="240" w:lineRule="atLeast"/>
      <w:jc w:val="center"/>
    </w:pPr>
    <w:rPr>
      <w:sz w:val="28"/>
      <w:szCs w:val="28"/>
    </w:rPr>
  </w:style>
  <w:style w:type="character" w:styleId="ab">
    <w:name w:val="line number"/>
    <w:basedOn w:val="a0"/>
    <w:uiPriority w:val="99"/>
    <w:semiHidden/>
    <w:unhideWhenUsed/>
    <w:rsid w:val="0051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cat>
            <c:strRef>
              <c:f>Лист1!$A$2:$A$6</c:f>
              <c:strCache>
                <c:ptCount val="5"/>
                <c:pt idx="0">
                  <c:v>Исполнение 2017 год</c:v>
                </c:pt>
                <c:pt idx="1">
                  <c:v>Ожидаемое исполнение 2018 год</c:v>
                </c:pt>
                <c:pt idx="2">
                  <c:v>Проект 2019 год</c:v>
                </c:pt>
                <c:pt idx="3">
                  <c:v>Проект 2020 год</c:v>
                </c:pt>
                <c:pt idx="4">
                  <c:v>Проект 2021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1203996.2</c:v>
                </c:pt>
                <c:pt idx="1">
                  <c:v>1417281</c:v>
                </c:pt>
                <c:pt idx="2">
                  <c:v>1259770</c:v>
                </c:pt>
                <c:pt idx="3">
                  <c:v>1231610</c:v>
                </c:pt>
                <c:pt idx="4">
                  <c:v>1292390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gradFill>
              <a:gsLst>
                <a:gs pos="0">
                  <a:schemeClr val="tx1"/>
                </a:gs>
                <a:gs pos="39999">
                  <a:srgbClr val="0A128C"/>
                </a:gs>
                <a:gs pos="70000">
                  <a:srgbClr val="181CC7"/>
                </a:gs>
                <a:gs pos="88000">
                  <a:srgbClr val="7005D4"/>
                </a:gs>
                <a:gs pos="100000">
                  <a:srgbClr val="8C3D91"/>
                </a:gs>
              </a:gsLst>
              <a:lin ang="5400000" scaled="0"/>
            </a:gradFill>
          </c:spPr>
          <c:cat>
            <c:strRef>
              <c:f>Лист1!$A$2:$A$6</c:f>
              <c:strCache>
                <c:ptCount val="5"/>
                <c:pt idx="0">
                  <c:v>Исполнение 2017 год</c:v>
                </c:pt>
                <c:pt idx="1">
                  <c:v>Ожидаемое исполнение 2018 год</c:v>
                </c:pt>
                <c:pt idx="2">
                  <c:v>Проект 2019 год</c:v>
                </c:pt>
                <c:pt idx="3">
                  <c:v>Проект 2020 год</c:v>
                </c:pt>
                <c:pt idx="4">
                  <c:v>Проект 2021 год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1183084</c:v>
                </c:pt>
                <c:pt idx="1">
                  <c:v>1446205</c:v>
                </c:pt>
                <c:pt idx="2">
                  <c:v>1282735</c:v>
                </c:pt>
                <c:pt idx="3">
                  <c:v>1246919</c:v>
                </c:pt>
                <c:pt idx="4">
                  <c:v>1300044</c:v>
                </c:pt>
              </c:numCache>
            </c:numRef>
          </c:val>
        </c:ser>
        <c:gapWidth val="170"/>
        <c:overlap val="11"/>
        <c:axId val="92783744"/>
        <c:axId val="92785280"/>
      </c:barChart>
      <c:catAx>
        <c:axId val="92783744"/>
        <c:scaling>
          <c:orientation val="minMax"/>
        </c:scaling>
        <c:axPos val="b"/>
        <c:tickLblPos val="nextTo"/>
        <c:crossAx val="92785280"/>
        <c:crosses val="autoZero"/>
        <c:auto val="1"/>
        <c:lblAlgn val="ctr"/>
        <c:lblOffset val="100"/>
      </c:catAx>
      <c:valAx>
        <c:axId val="92785280"/>
        <c:scaling>
          <c:orientation val="minMax"/>
        </c:scaling>
        <c:axPos val="l"/>
        <c:majorGridlines/>
        <c:numFmt formatCode="#,##0.00" sourceLinked="1"/>
        <c:tickLblPos val="nextTo"/>
        <c:crossAx val="92783744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0709372265966759"/>
          <c:y val="6.2085676790401223E-2"/>
          <c:w val="0.85586924030329581"/>
          <c:h val="0.513765537166685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-1.1000000000000001</c:v>
                </c:pt>
                <c:pt idx="1">
                  <c:v>4</c:v>
                </c:pt>
                <c:pt idx="2">
                  <c:v>-16.7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5.7</c:v>
                </c:pt>
                <c:pt idx="1">
                  <c:v>-19.100000000000001</c:v>
                </c:pt>
                <c:pt idx="2">
                  <c:v>-5.5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1.9000000000000001</c:v>
                </c:pt>
                <c:pt idx="1">
                  <c:v>-5.2</c:v>
                </c:pt>
                <c:pt idx="2">
                  <c:v>7.4</c:v>
                </c:pt>
              </c:numCache>
            </c:numRef>
          </c:val>
        </c:ser>
        <c:axId val="120484608"/>
        <c:axId val="120486144"/>
      </c:barChart>
      <c:catAx>
        <c:axId val="120484608"/>
        <c:scaling>
          <c:orientation val="minMax"/>
        </c:scaling>
        <c:axPos val="b"/>
        <c:majorTickMark val="none"/>
        <c:tickLblPos val="nextTo"/>
        <c:crossAx val="120486144"/>
        <c:crosses val="autoZero"/>
        <c:auto val="1"/>
        <c:lblAlgn val="ctr"/>
        <c:lblOffset val="100"/>
      </c:catAx>
      <c:valAx>
        <c:axId val="1204861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Рост (снижение) в %</a:t>
                </a:r>
              </a:p>
            </c:rich>
          </c:tx>
        </c:title>
        <c:numFmt formatCode="General" sourceLinked="1"/>
        <c:majorTickMark val="none"/>
        <c:tickLblPos val="nextTo"/>
        <c:crossAx val="120484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4"/>
            <c:explosion val="34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5"/>
              <c:layout>
                <c:manualLayout>
                  <c:x val="4.9596900049656133E-2"/>
                  <c:y val="3.04753325325860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numFmt formatCode="General" sourceLinked="0"/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62</c:v>
                </c:pt>
                <c:pt idx="5">
                  <c:v>8</c:v>
                </c:pt>
                <c:pt idx="6">
                  <c:v>9</c:v>
                </c:pt>
                <c:pt idx="7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702809108321059"/>
          <c:y val="6.8890406556323516E-2"/>
          <c:w val="0.32945839540327826"/>
          <c:h val="0.9064368739621833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31CA-0C4A-4EC4-BE38-965A2EB1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23</Pages>
  <Words>7346</Words>
  <Characters>41874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54</cp:revision>
  <cp:lastPrinted>2018-11-22T05:50:00Z</cp:lastPrinted>
  <dcterms:created xsi:type="dcterms:W3CDTF">2018-11-15T07:14:00Z</dcterms:created>
  <dcterms:modified xsi:type="dcterms:W3CDTF">2018-11-22T12:20:00Z</dcterms:modified>
</cp:coreProperties>
</file>