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D1" w:rsidRDefault="00A315D1" w:rsidP="00A315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D1" w:rsidRPr="00854B2C" w:rsidRDefault="00A315D1" w:rsidP="00A315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854B2C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работе ревизионной комиссии</w:t>
      </w:r>
    </w:p>
    <w:p w:rsidR="00A315D1" w:rsidRDefault="00A315D1" w:rsidP="00A315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B2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Красноуфимск в 2014году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15D1" w:rsidRDefault="00A315D1" w:rsidP="00A315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5D1" w:rsidRPr="00371460" w:rsidRDefault="00A315D1" w:rsidP="00A31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1460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требований положения о ревизионной комиссии, утвержденного решением Думы городского округа Красноуфимск от 27.10.2011 №52/3.  </w:t>
      </w:r>
    </w:p>
    <w:p w:rsidR="00A315D1" w:rsidRDefault="00A315D1" w:rsidP="00A31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854B2C">
        <w:rPr>
          <w:rFonts w:ascii="Times New Roman" w:eastAsia="Times New Roman" w:hAnsi="Times New Roman" w:cs="Times New Roman"/>
          <w:sz w:val="24"/>
          <w:szCs w:val="24"/>
        </w:rPr>
        <w:t>В 2014году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ревизионная комиссия осуществляла деятельность в соответствии с планом работы, утвержденным председателем ревизионной комиссии №36 от 30.12.2013г. План разработан и утвержден  на основании предложений постоянных депутатских комиссий и администрации городского округа Красноуфимск. Внешний муниципальный финансовый контроль осуществлялся в соответствии  с полномочиями, путем проведения контрольных и экспертно-аналитических  мероприятий.</w:t>
      </w:r>
    </w:p>
    <w:p w:rsidR="00A315D1" w:rsidRDefault="00A315D1" w:rsidP="00A31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целях контроля по формированию и  исполнению местного бюджета  производился анализ исполнения бюджета в течение года, а так же экспертная оценка проектов решений об уточнении бюджета. В течение года подготовлено 10  заключений на изменения в бюджет, а так же ежеквартальная информация о текущем  исполнении бюджета.  Подготовлено заключение на проект бюджета на 2015год и плановый период 2016 и 2017годов. Всего подготовлено 14 экспертно-аналитических заключений.</w:t>
      </w:r>
    </w:p>
    <w:p w:rsidR="00A315D1" w:rsidRDefault="00A315D1" w:rsidP="00A315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целях обеспечения  текущего и последующего контроля  по исполнению бюджета, осуществлено 7 контрольных мероприятий, которыми охвачено 14 объектов, составлено 16 актов.   Кроме плановых проверок два сотрудника участвовали в рабочей группе по проверке МУП ЖКУ (контроль по использованию средств населения).  </w:t>
      </w:r>
    </w:p>
    <w:p w:rsidR="00A315D1" w:rsidRDefault="00A315D1" w:rsidP="00A31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Контрольными мероприятиями</w:t>
      </w:r>
      <w:r w:rsidRPr="006F4139">
        <w:rPr>
          <w:rFonts w:ascii="Times New Roman" w:eastAsia="Times New Roman" w:hAnsi="Times New Roman" w:cs="Times New Roman"/>
          <w:sz w:val="24"/>
          <w:szCs w:val="24"/>
        </w:rPr>
        <w:t xml:space="preserve"> охвачен объем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(расходы и доходы) </w:t>
      </w:r>
      <w:r w:rsidRPr="006F4139">
        <w:rPr>
          <w:rFonts w:ascii="Times New Roman" w:eastAsia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F4139">
        <w:rPr>
          <w:rFonts w:ascii="Times New Roman" w:hAnsi="Times New Roman" w:cs="Times New Roman"/>
          <w:sz w:val="24"/>
          <w:szCs w:val="24"/>
        </w:rPr>
        <w:t>141 865,36 тыс. руб.</w:t>
      </w:r>
      <w:r>
        <w:rPr>
          <w:rFonts w:ascii="Times New Roman" w:hAnsi="Times New Roman" w:cs="Times New Roman"/>
          <w:sz w:val="24"/>
          <w:szCs w:val="24"/>
        </w:rPr>
        <w:t>, в том числе по администрированию доходов  59940,5 тыс. руб.(42,2%).  В целом по результатам контрольной деятельности выявлены нарушения (с имущественными)  на общую сумму 124803,65</w:t>
      </w:r>
      <w:r w:rsidRPr="006F4139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, потери бюджета в сумме        420,8 тыс. руб., невостребованная своевременно кредиторская задолженность - 38570,5 тыс. руб.  В МБУ ЦКиД проверена иная приносящая доход деятельность в сумме 26799,5 тыс. руб.</w:t>
      </w:r>
    </w:p>
    <w:p w:rsidR="00A315D1" w:rsidRPr="00E56869" w:rsidRDefault="00A315D1" w:rsidP="00A31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Основными направлениями  контрольных мероприятий являлись:</w:t>
      </w:r>
    </w:p>
    <w:p w:rsidR="00A315D1" w:rsidRPr="005E2109" w:rsidRDefault="00A315D1" w:rsidP="00A315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E2109">
        <w:rPr>
          <w:rFonts w:ascii="Times New Roman" w:eastAsia="Times New Roman" w:hAnsi="Times New Roman" w:cs="Times New Roman"/>
          <w:sz w:val="24"/>
          <w:szCs w:val="24"/>
        </w:rPr>
        <w:t>-целевое, эффективное использование средств бюджета;</w:t>
      </w:r>
    </w:p>
    <w:p w:rsidR="00A315D1" w:rsidRDefault="00A315D1" w:rsidP="00A315D1">
      <w:pPr>
        <w:shd w:val="clear" w:color="auto" w:fill="FFFFFF"/>
        <w:spacing w:after="0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администрирование доходов городского бюджета;</w:t>
      </w:r>
    </w:p>
    <w:p w:rsidR="00A315D1" w:rsidRDefault="00A315D1" w:rsidP="00A315D1">
      <w:pPr>
        <w:shd w:val="clear" w:color="auto" w:fill="FFFFFF"/>
        <w:spacing w:after="0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-проверка отдельных вопросов;</w:t>
      </w:r>
    </w:p>
    <w:p w:rsidR="00A315D1" w:rsidRPr="00580A0B" w:rsidRDefault="00A315D1" w:rsidP="00A315D1">
      <w:pPr>
        <w:shd w:val="clear" w:color="auto" w:fill="FFFFFF"/>
        <w:spacing w:after="0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-исполнение законодательства в рамках 94-ФЗ(муниципальный заказ);</w:t>
      </w:r>
    </w:p>
    <w:p w:rsidR="00A315D1" w:rsidRDefault="00A315D1" w:rsidP="00A315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-эффективность использования муниципального имущества;</w:t>
      </w:r>
    </w:p>
    <w:p w:rsidR="00A315D1" w:rsidRPr="00725AD5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-последующий контроль за устранением нарушений;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  всех  проведенных контрольных мероприятий составлены акты и направлены руководителям проверенных учреждений и предприятий. В целях предотвращения дальнейшего неправомерного, неэффективного расходования бюджетных  средств все результаты контрольных мероприятий направлялись  главе городского округа с выводами и предложениями.  Проверенным учреждениям направлены представления и получены ответы, в которых содержалась информация о выполнении предложений, либо о том, какие меры и в какой срок принимаются для устранения недостатков.  В администрации городского округа  итоги проверок рассматривались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заседании комиссии по устойчивости и эффективному функционированию муниципального сектора экономики. Так же в порядке контроля вышеназванная комиссия регулярно рассматривает  и заслушивает информацию и отчеты по устранению выявленных нарушений.   Отчеты по результатам контрольных мероприятий и принятых по ним мерам, направлены на  рассмотрение профильных депутатских комиссий. Материалы  проверок направлены в прокуратуру, по которым имеются представления прокуратуры в адрес должностных лиц. Проверяемым субъектам в отчетном периоде направлено 8 представлений об устранении нарушений. Исполнение представлений проверено и по результатам направлено 4 предписания.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Проверенными учреждениями приняты меры  реагирования, привлечены к административной ответственности виновные лица в допущенных нарушениях, в виде дисциплинарного замечания – 4 человека.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Ревизионной комиссией проведен внешний аудит отчета об исполнении бюджета городского округа за 2013год, который осуществлялся в два этапа: 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-проверка годовой бюджетной отчетности главных администраторов, распорядителей бюджетных средств;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экспертиза и подготовка заключения на годовой отчет об исполнении бюджета городского округа;   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Внешней проверкой годовой отчетности об исполнении бюджета городского округа охвачены 100% ГАБС, </w:t>
      </w:r>
      <w:r w:rsidRPr="00481508">
        <w:rPr>
          <w:rFonts w:ascii="Times New Roman" w:eastAsia="Times New Roman" w:hAnsi="Times New Roman" w:cs="Times New Roman"/>
          <w:sz w:val="24"/>
          <w:szCs w:val="24"/>
        </w:rPr>
        <w:t xml:space="preserve">по её результатам составлено </w:t>
      </w:r>
      <w:r w:rsidRPr="00F2168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815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81508">
        <w:rPr>
          <w:rFonts w:ascii="Times New Roman" w:eastAsia="Times New Roman" w:hAnsi="Times New Roman" w:cs="Times New Roman"/>
          <w:sz w:val="24"/>
          <w:szCs w:val="24"/>
        </w:rPr>
        <w:t>заключений</w:t>
      </w:r>
      <w:r>
        <w:rPr>
          <w:rFonts w:ascii="Times New Roman" w:eastAsia="Times New Roman" w:hAnsi="Times New Roman" w:cs="Times New Roman"/>
          <w:sz w:val="24"/>
          <w:szCs w:val="24"/>
        </w:rPr>
        <w:t>( в том числе 2 сводных)</w:t>
      </w:r>
      <w:r w:rsidRPr="00481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5D1" w:rsidRPr="00D65F5E" w:rsidRDefault="00A315D1" w:rsidP="00A315D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39A">
        <w:rPr>
          <w:rFonts w:ascii="Times New Roman" w:eastAsia="Times New Roman" w:hAnsi="Times New Roman" w:cs="Times New Roman"/>
          <w:sz w:val="24"/>
          <w:szCs w:val="24"/>
        </w:rPr>
        <w:t>В рамках контрольного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я   бюджетная отчетность за 2013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 xml:space="preserve"> год проверена у </w:t>
      </w:r>
      <w:r w:rsidRPr="00F2168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 xml:space="preserve"> главных администраторов доходов бюджета, что составило  100 % от общего числа главных администраторов, 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администраторов доходов местного уровня, что так же составило 100%.  Кроме того, камерально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роверена бюджетная отчётность </w:t>
      </w:r>
      <w:r w:rsidRPr="00F2168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 администраторов  доходов бюджета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B41">
        <w:rPr>
          <w:rFonts w:ascii="Times New Roman" w:eastAsia="Times New Roman" w:hAnsi="Times New Roman" w:cs="Times New Roman"/>
          <w:sz w:val="24"/>
          <w:szCs w:val="24"/>
        </w:rPr>
        <w:t>Бюд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етная  отчетность проверена у </w:t>
      </w:r>
      <w:r w:rsidRPr="00F2168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 xml:space="preserve"> главных распорядителей бюджетных средств (100% участников бюджетного процесса).  Помимо этого  камеральной проверке подвергнута бюджетная отчётн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F21687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(100 %) получателей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отчетность 2 главных администраторов источников финансирования дефицита бюджета (админ. и фин. орган)</w:t>
      </w:r>
      <w:r w:rsidRPr="00F34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качестве законодательной инициативы подготовлены </w:t>
      </w:r>
      <w:r w:rsidRPr="00C0746D">
        <w:rPr>
          <w:rFonts w:ascii="Times New Roman" w:hAnsi="Times New Roman" w:cs="Times New Roman"/>
          <w:sz w:val="24"/>
          <w:szCs w:val="24"/>
        </w:rPr>
        <w:t xml:space="preserve">изменения в  НПА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о ревизионной комиссии: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Думы ГО  </w:t>
      </w:r>
      <w:r>
        <w:rPr>
          <w:rFonts w:ascii="Times New Roman" w:hAnsi="Times New Roman" w:cs="Times New Roman"/>
          <w:sz w:val="24"/>
          <w:szCs w:val="24"/>
        </w:rPr>
        <w:t>№26/5 от 29.05.2014   и   №33/3 о 23.10.2014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Утвержден регламент деятельности в новой </w:t>
      </w:r>
      <w:r w:rsidRPr="00500215">
        <w:rPr>
          <w:rFonts w:ascii="Times New Roman" w:eastAsia="Times New Roman" w:hAnsi="Times New Roman" w:cs="Times New Roman"/>
          <w:sz w:val="24"/>
          <w:szCs w:val="24"/>
        </w:rPr>
        <w:t>редакции.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Кроме того, в соответствии с областным Законом от 12.07.2011г. 62-</w:t>
      </w:r>
      <w:r w:rsidRPr="002D6DFD">
        <w:rPr>
          <w:rFonts w:ascii="Times New Roman" w:eastAsia="Times New Roman" w:hAnsi="Times New Roman" w:cs="Times New Roman"/>
          <w:sz w:val="24"/>
          <w:szCs w:val="24"/>
        </w:rPr>
        <w:t xml:space="preserve">ОЗ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6DFD">
        <w:rPr>
          <w:rFonts w:ascii="Times New Roman" w:eastAsia="Times New Roman" w:hAnsi="Times New Roman" w:cs="Times New Roman"/>
          <w:sz w:val="24"/>
          <w:szCs w:val="24"/>
        </w:rPr>
        <w:t>О счетной палате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DFD">
        <w:rPr>
          <w:rFonts w:ascii="Times New Roman" w:eastAsia="Times New Roman" w:hAnsi="Times New Roman" w:cs="Times New Roman"/>
          <w:sz w:val="24"/>
          <w:szCs w:val="24"/>
        </w:rPr>
        <w:t xml:space="preserve">…и контрольно-счетных органах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</w:t>
      </w:r>
      <w:r w:rsidRPr="002D6DFD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D6DFD">
        <w:rPr>
          <w:rFonts w:ascii="Times New Roman" w:eastAsia="Times New Roman" w:hAnsi="Times New Roman" w:cs="Times New Roman"/>
          <w:sz w:val="24"/>
          <w:szCs w:val="24"/>
        </w:rPr>
        <w:t>, положением о ревизионной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миссии разработаны и утверждены стандарты внешнего муниципального финансового контроля в количестве 8 штук. 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требованиями Федерального закона №6-ФЗ от 07.02.2011г. «Об общих принципах организации и деятельности контрольно-счетных органов …муниципальных образований» создан собственный сайт ревизионной комиссии.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плане реализации мероприятий </w:t>
      </w:r>
      <w:r w:rsidRPr="00F3439A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организационно-методического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  председатель ревизионной комиссии систематически принимала участие в работе заседаний постоянных депутатских комиссий, заседании Думы городского округа, семинарах Счетной палаты Свердловской области.  В администрации городского округа  участвовала в  работе балансовых комиссий.  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повседневной работе муниципальные служащие контрольного органа  уделяли внимание изучению нормативных актов Российской Федерации, Свердловской области, решений Думы городского округа, а так же методических указаний норм и нормативов контрольной и экспертно-аналитической работы.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 процессе работы ревизионная комиссия взаимодействовала с другими контрольными органами Свердловской области, со Счетной палатой Свердловской области, что способствовало получению определенной информации, а так же обмену опытом работы. Осуществляется взаимодействие с надзорными органами.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Финансово-экономическая экспертиза в 2014году не проводилась.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Деятельность контрольного органа в 2014году была обеспечена в полном объеме кадровыми, информационными ресурсами. Финансовое и социально-бытовое  обеспечение позволило бесперебойно осуществлять возложенные полномочия.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деятельности на 2015год сохранятся, как и в 2014году направленные на исполнение полномочий. Кроме того, необходимо разработать и утвердить два стандарта внешнего муниципального финансового контроля.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Информация о проведенных контрольных мероприятиях публиковалась  в газете «Вперед». За 2014год опубликовано 9 материалов.  Наряду с этим,  на официальном сайте ревизионной комиссии размещены все материалы о деятельности контрольного органа, в том числе и результаты контрольных мероприятий.   До создания собственного сайта, информация размещалась на сайте  администрации городского округа, где имеется  страница ОМС Ревизионная комиссия.</w:t>
      </w:r>
    </w:p>
    <w:p w:rsidR="00A315D1" w:rsidRDefault="00A315D1" w:rsidP="00A315D1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2006EE">
        <w:rPr>
          <w:rFonts w:ascii="Times New Roman" w:hAnsi="Times New Roman"/>
          <w:sz w:val="24"/>
          <w:szCs w:val="24"/>
        </w:rPr>
        <w:t xml:space="preserve">Основная задача ревизионной комиссии, как органа внешнего муниципального финансового контроля – представлять главе городского округа, Думе городского округа и всем жителям объективную и независимую информацию об исполнении бюджета, законности, эффективности и результативности </w:t>
      </w:r>
      <w:r>
        <w:rPr>
          <w:rFonts w:ascii="Times New Roman" w:hAnsi="Times New Roman"/>
          <w:sz w:val="24"/>
          <w:szCs w:val="24"/>
        </w:rPr>
        <w:t xml:space="preserve">расходования бюджетных средств,  </w:t>
      </w:r>
      <w:r w:rsidRPr="002006EE">
        <w:rPr>
          <w:rFonts w:ascii="Times New Roman" w:hAnsi="Times New Roman"/>
          <w:sz w:val="24"/>
          <w:szCs w:val="24"/>
        </w:rPr>
        <w:t xml:space="preserve">деятельности органов исполнительной власти по управлению и распоряжению муниципальными финансами и имуществом, причинах и последствиях выявленных нарушений, возможностях их устранения. </w:t>
      </w:r>
    </w:p>
    <w:p w:rsidR="00A315D1" w:rsidRPr="002006EE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6EE">
        <w:rPr>
          <w:rFonts w:ascii="Times New Roman" w:hAnsi="Times New Roman"/>
          <w:sz w:val="24"/>
          <w:szCs w:val="24"/>
        </w:rPr>
        <w:t xml:space="preserve">    В 2015году планируется продолжить работу по разработке и внедрению стандартов внешнего муниципального финансового контроля.</w:t>
      </w: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0" w:type="dxa"/>
        <w:tblInd w:w="98" w:type="dxa"/>
        <w:tblLook w:val="04A0"/>
      </w:tblPr>
      <w:tblGrid>
        <w:gridCol w:w="616"/>
        <w:gridCol w:w="4938"/>
        <w:gridCol w:w="1754"/>
        <w:gridCol w:w="1782"/>
        <w:gridCol w:w="960"/>
      </w:tblGrid>
      <w:tr w:rsidR="0092245E" w:rsidRPr="0092245E" w:rsidTr="0092245E">
        <w:trPr>
          <w:trHeight w:val="52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Показатель                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Предшествующий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73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поручений ПО</w:t>
            </w: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[1]</w:t>
            </w: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[2]</w:t>
            </w: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направленных в КО</w:t>
            </w: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[3]</w:t>
            </w: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для включения в план работы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поручений ПО МО, учтенных в плане работы КО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контрольных мероприятий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предложений и запросов главы МО, направленных в КО для включения в план работы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предложений и запросов главы МО, учтенных в плане работы КО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контрольных мероприятий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экспертно-аналитических мероприятий, включенных в план работы КО (ед.)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контрольных мероприятий, включенных в годовой план работы КО (ед.)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завершенных контрольных мероприятий (ед.)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том числе по внешней проверке  отчета об исполнении бюджета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составленых актов по результатам проведенных контрольных мероприятий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внешней проверке  отчета об исполнении бюджета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Проверено имущества МО (за исключением внешней проверки), всего в том числе (тыс. руб.):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184 744,15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95879,9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доходов бюджета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59940,5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расходов бюджета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81924,86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иного имущества за исключением бюджетных средств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42878,79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Выявлены недостатки и нарушения использования муниципального имущества всего, в том числе (тыс. руб.):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124803,65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63160,52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нецелевое использование бюджетных средств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49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в области бухгалтерского (бюджетного) учета и отчетности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</w:rPr>
              <w:t>46621,96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52288,5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 законодательства в сфере закупок товаров, работ, услуг для обеспечения муниципальных нужд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 при распоряжении и управлении муниципальной собственностью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нарушения в использовании бюджетных средств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75586,19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Выявлено неэффективное использование имущества МО (тыс. руб.)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7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средств, подлежащих к возмещению (тыс. руб.)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направленных представлений и предписаний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исполненных представлений и предписаний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4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Устранено финансовых нарушений по результатам проверок, в том числе (тыс. руб.):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7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возмещено средств бюджета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материалов, направленных ПО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материалов, направленных в адрес главы МО (главы администрации)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материалов, направленных в органы прокуратуры, иные правоохранительные органы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возбужденных уголовных дел по итогам рассмотрения материалов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актов прокурорского реагирования, вынесенных по итогам рассмотрения материалов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лиц привлеченных к дисциплинарной ответственности по итогам рассмотрения материалов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лиц привлеченных к административной ответственности по итогам рассмотрения материалов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расходов на содержание КО в соответствии с решением о бюджете (тыс. руб.)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Фактические расходы на содержание КО (тыс. руб.)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2181,4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Штатная численность сотрудников КО в соответствии </w:t>
            </w: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 НПА ПО,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сотрудников КО фактическая, всего в том числе: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1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инспекторов (чел.)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обеспечивающих специалистов   (чел.)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 сотрудников КО по уровню образования (чел.):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высшее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среднее-профессиональное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образование сотрудников  КО (чел.):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финансово-экономическое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7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юридическое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иное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сотрудников, прошедших обучение по программе повышения квалификации (чел.)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52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о деятельности КО: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публикаций в СМИ (ед.)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27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официального сайта (+/-)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45E" w:rsidRPr="0092245E" w:rsidRDefault="0092245E" w:rsidP="009224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anchor="RANGE!_ftnref1" w:history="1">
              <w:r w:rsidRPr="0092245E">
                <w:rPr>
                  <w:rFonts w:ascii="Calibri" w:eastAsia="Times New Roman" w:hAnsi="Calibri" w:cs="Times New Roman"/>
                  <w:color w:val="0000FF"/>
                  <w:u w:val="single"/>
                </w:rPr>
                <w:t>[1] ПО – представительный орган</w:t>
              </w:r>
            </w:hyperlink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45E" w:rsidRPr="0092245E" w:rsidRDefault="0092245E" w:rsidP="009224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anchor="RANGE!_ftnref2" w:history="1">
              <w:r w:rsidRPr="0092245E">
                <w:rPr>
                  <w:rFonts w:ascii="Calibri" w:eastAsia="Times New Roman" w:hAnsi="Calibri" w:cs="Times New Roman"/>
                  <w:color w:val="0000FF"/>
                  <w:u w:val="single"/>
                </w:rPr>
                <w:t>[2] МО – муниципальное образование</w:t>
              </w:r>
            </w:hyperlink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bookmarkStart w:id="0" w:name="RANGE!A60"/>
            <w:bookmarkEnd w:id="0"/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45E" w:rsidRPr="0092245E" w:rsidRDefault="0092245E" w:rsidP="009224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anchor="RANGE!_ftnref3" w:history="1">
              <w:r w:rsidRPr="0092245E">
                <w:rPr>
                  <w:rFonts w:ascii="Calibri" w:eastAsia="Times New Roman" w:hAnsi="Calibri" w:cs="Times New Roman"/>
                  <w:color w:val="0000FF"/>
                  <w:u w:val="single"/>
                </w:rPr>
                <w:t>[3] КО – контрольный орган</w:t>
              </w:r>
            </w:hyperlink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45E" w:rsidRPr="0092245E" w:rsidTr="0092245E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45E" w:rsidRPr="0092245E" w:rsidRDefault="0092245E" w:rsidP="009224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bookmarkStart w:id="1" w:name="RANGE!A61"/>
            <w:bookmarkEnd w:id="1"/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5E" w:rsidRPr="0092245E" w:rsidRDefault="0092245E" w:rsidP="00922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5D1" w:rsidRDefault="00A315D1" w:rsidP="00A315D1"/>
    <w:p w:rsidR="00A315D1" w:rsidRDefault="00A315D1" w:rsidP="00A315D1">
      <w:pPr>
        <w:ind w:left="-426"/>
      </w:pPr>
    </w:p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A315D1" w:rsidRDefault="00A315D1" w:rsidP="00A315D1"/>
    <w:p w:rsidR="00D60532" w:rsidRDefault="00D60532"/>
    <w:sectPr w:rsidR="00D60532" w:rsidSect="00951A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DA" w:rsidRDefault="00497ADA" w:rsidP="00F90759">
      <w:pPr>
        <w:spacing w:after="0" w:line="240" w:lineRule="auto"/>
      </w:pPr>
      <w:r>
        <w:separator/>
      </w:r>
    </w:p>
  </w:endnote>
  <w:endnote w:type="continuationSeparator" w:id="1">
    <w:p w:rsidR="00497ADA" w:rsidRDefault="00497ADA" w:rsidP="00F9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097"/>
      <w:docPartObj>
        <w:docPartGallery w:val="Page Numbers (Bottom of Page)"/>
        <w:docPartUnique/>
      </w:docPartObj>
    </w:sdtPr>
    <w:sdtContent>
      <w:p w:rsidR="00951AC0" w:rsidRDefault="00F90759">
        <w:pPr>
          <w:pStyle w:val="a3"/>
          <w:jc w:val="center"/>
        </w:pPr>
        <w:r>
          <w:fldChar w:fldCharType="begin"/>
        </w:r>
        <w:r w:rsidR="00D60532">
          <w:instrText xml:space="preserve"> PAGE   \* MERGEFORMAT </w:instrText>
        </w:r>
        <w:r>
          <w:fldChar w:fldCharType="separate"/>
        </w:r>
        <w:r w:rsidR="0092245E">
          <w:rPr>
            <w:noProof/>
          </w:rPr>
          <w:t>3</w:t>
        </w:r>
        <w:r>
          <w:fldChar w:fldCharType="end"/>
        </w:r>
      </w:p>
    </w:sdtContent>
  </w:sdt>
  <w:p w:rsidR="00951AC0" w:rsidRDefault="00497A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DA" w:rsidRDefault="00497ADA" w:rsidP="00F90759">
      <w:pPr>
        <w:spacing w:after="0" w:line="240" w:lineRule="auto"/>
      </w:pPr>
      <w:r>
        <w:separator/>
      </w:r>
    </w:p>
  </w:footnote>
  <w:footnote w:type="continuationSeparator" w:id="1">
    <w:p w:rsidR="00497ADA" w:rsidRDefault="00497ADA" w:rsidP="00F9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15D1"/>
    <w:rsid w:val="00497ADA"/>
    <w:rsid w:val="0092245E"/>
    <w:rsid w:val="00A315D1"/>
    <w:rsid w:val="00D60532"/>
    <w:rsid w:val="00F9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15D1"/>
  </w:style>
  <w:style w:type="table" w:styleId="a5">
    <w:name w:val="Table Grid"/>
    <w:basedOn w:val="a1"/>
    <w:uiPriority w:val="59"/>
    <w:rsid w:val="00A3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rsid w:val="00A315D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A315D1"/>
    <w:rPr>
      <w:rFonts w:ascii="Consolas" w:eastAsia="Times New Roman" w:hAnsi="Consolas" w:cs="Times New Roma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922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9;&#1086;&#1088;&#1085;&#1080;&#1085;&#1072;\Desktop\&#1057;&#1090;&#1072;&#1088;&#1099;&#1081;%20&#1088;&#1072;&#1073;&#1086;&#1095;&#1080;&#1081;%20&#1089;&#1090;&#1086;&#1083;\&#1056;&#1072;&#1079;&#1085;&#1086;&#1077;\&#1086;&#1090;&#1095;&#1077;&#1090;&#1099;%20&#1086;%20&#1088;&#1072;&#1073;&#1086;&#1090;&#1077;%20&#1089;%202006&#1075;\&#1086;&#1090;&#1095;&#1077;&#1090;%20&#1079;&#1072;%202014&#1075;&#1086;&#1076;\&#1054;&#1090;&#1095;&#1077;&#1090;%20&#1075;&#1086;&#1076;&#1086;&#1074;&#1086;&#1081;%20&#1074;%20&#1089;&#1095;&#1077;&#1090;&#1085;&#1091;&#1102;%20&#1087;&#1072;&#1083;&#1072;&#1090;&#1080;%20&#1079;&#1072;%202014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9;&#1086;&#1088;&#1085;&#1080;&#1085;&#1072;\Desktop\&#1057;&#1090;&#1072;&#1088;&#1099;&#1081;%20&#1088;&#1072;&#1073;&#1086;&#1095;&#1080;&#1081;%20&#1089;&#1090;&#1086;&#1083;\&#1056;&#1072;&#1079;&#1085;&#1086;&#1077;\&#1086;&#1090;&#1095;&#1077;&#1090;&#1099;%20&#1086;%20&#1088;&#1072;&#1073;&#1086;&#1090;&#1077;%20&#1089;%202006&#1075;\&#1086;&#1090;&#1095;&#1077;&#1090;%20&#1079;&#1072;%202014&#1075;&#1086;&#1076;\&#1054;&#1090;&#1095;&#1077;&#1090;%20&#1075;&#1086;&#1076;&#1086;&#1074;&#1086;&#1081;%20&#1074;%20&#1089;&#1095;&#1077;&#1090;&#1085;&#1091;&#1102;%20&#1087;&#1072;&#1083;&#1072;&#1090;&#1080;%20&#1079;&#1072;%202014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9;&#1086;&#1088;&#1085;&#1080;&#1085;&#1072;\Desktop\&#1057;&#1090;&#1072;&#1088;&#1099;&#1081;%20&#1088;&#1072;&#1073;&#1086;&#1095;&#1080;&#1081;%20&#1089;&#1090;&#1086;&#1083;\&#1056;&#1072;&#1079;&#1085;&#1086;&#1077;\&#1086;&#1090;&#1095;&#1077;&#1090;&#1099;%20&#1086;%20&#1088;&#1072;&#1073;&#1086;&#1090;&#1077;%20&#1089;%202006&#1075;\&#1086;&#1090;&#1095;&#1077;&#1090;%20&#1079;&#1072;%202014&#1075;&#1086;&#1076;\&#1054;&#1090;&#1095;&#1077;&#1090;%20&#1075;&#1086;&#1076;&#1086;&#1074;&#1086;&#1081;%20&#1074;%20&#1089;&#1095;&#1077;&#1090;&#1085;&#1091;&#1102;%20&#1087;&#1072;&#1083;&#1072;&#1090;&#1080;%20&#1079;&#1072;%202014.xls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dcterms:created xsi:type="dcterms:W3CDTF">2015-03-02T11:35:00Z</dcterms:created>
  <dcterms:modified xsi:type="dcterms:W3CDTF">2015-03-02T11:42:00Z</dcterms:modified>
</cp:coreProperties>
</file>